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6DA" w:rsidRDefault="00C266DA" w:rsidP="00C266DA">
      <w:pPr>
        <w:pStyle w:val="Title"/>
      </w:pPr>
      <w:r>
        <w:t>FDTF DLT WG Call</w:t>
      </w:r>
    </w:p>
    <w:p w:rsidR="00DD796A" w:rsidRDefault="00C266DA" w:rsidP="00DD796A">
      <w:pPr>
        <w:spacing w:after="0"/>
      </w:pPr>
      <w:r>
        <w:t xml:space="preserve">27 March </w:t>
      </w:r>
      <w:r w:rsidR="009B2A0D">
        <w:t>2018</w:t>
      </w:r>
    </w:p>
    <w:p w:rsidR="00C266DA" w:rsidRDefault="00C266DA" w:rsidP="00DD796A">
      <w:pPr>
        <w:pStyle w:val="Heading1"/>
        <w:spacing w:before="240"/>
      </w:pPr>
      <w:r>
        <w:t>Attendees</w:t>
      </w:r>
    </w:p>
    <w:tbl>
      <w:tblPr>
        <w:tblStyle w:val="TableGrid"/>
        <w:tblW w:w="5987" w:type="dxa"/>
        <w:tblLayout w:type="fixed"/>
        <w:tblLook w:val="04A0" w:firstRow="1" w:lastRow="0" w:firstColumn="1" w:lastColumn="0" w:noHBand="0" w:noVBand="1"/>
      </w:tblPr>
      <w:tblGrid>
        <w:gridCol w:w="3261"/>
        <w:gridCol w:w="2726"/>
      </w:tblGrid>
      <w:tr w:rsidR="00DD796A" w:rsidRPr="00DD796A" w:rsidTr="00DD796A">
        <w:tc>
          <w:tcPr>
            <w:tcW w:w="3261" w:type="dxa"/>
          </w:tcPr>
          <w:p w:rsidR="00DD796A" w:rsidRPr="00DD796A" w:rsidRDefault="00DD796A" w:rsidP="00DD796A">
            <w:pPr>
              <w:rPr>
                <w:b/>
              </w:rPr>
            </w:pPr>
            <w:r w:rsidRPr="00DD796A">
              <w:rPr>
                <w:b/>
              </w:rPr>
              <w:t>Name</w:t>
            </w:r>
          </w:p>
        </w:tc>
        <w:tc>
          <w:tcPr>
            <w:tcW w:w="2726" w:type="dxa"/>
          </w:tcPr>
          <w:p w:rsidR="00DD796A" w:rsidRPr="00DD796A" w:rsidRDefault="00DD796A" w:rsidP="00DD796A">
            <w:pPr>
              <w:rPr>
                <w:b/>
              </w:rPr>
            </w:pPr>
            <w:r w:rsidRPr="00DD796A">
              <w:rPr>
                <w:b/>
              </w:rPr>
              <w:t>Affiliation</w:t>
            </w:r>
          </w:p>
        </w:tc>
      </w:tr>
      <w:tr w:rsidR="00DD796A" w:rsidRPr="009B2A0D" w:rsidTr="00DD796A">
        <w:tc>
          <w:tcPr>
            <w:tcW w:w="3261" w:type="dxa"/>
          </w:tcPr>
          <w:p w:rsidR="00DD796A" w:rsidRPr="009B2A0D" w:rsidRDefault="00DD796A" w:rsidP="00DD796A">
            <w:r w:rsidRPr="009B2A0D">
              <w:t xml:space="preserve">Robert </w:t>
            </w:r>
            <w:proofErr w:type="spellStart"/>
            <w:r w:rsidRPr="009B2A0D">
              <w:t>Nehmer</w:t>
            </w:r>
            <w:proofErr w:type="spellEnd"/>
          </w:p>
        </w:tc>
        <w:tc>
          <w:tcPr>
            <w:tcW w:w="2726" w:type="dxa"/>
          </w:tcPr>
          <w:p w:rsidR="00DD796A" w:rsidRPr="00DD796A" w:rsidRDefault="00DD796A" w:rsidP="00DD796A">
            <w:r w:rsidRPr="00DD796A">
              <w:t>Oakland University</w:t>
            </w:r>
          </w:p>
        </w:tc>
      </w:tr>
      <w:tr w:rsidR="00DD796A" w:rsidRPr="009B2A0D" w:rsidTr="00DD796A">
        <w:tc>
          <w:tcPr>
            <w:tcW w:w="3261" w:type="dxa"/>
            <w:hideMark/>
          </w:tcPr>
          <w:p w:rsidR="00DD796A" w:rsidRPr="009B2A0D" w:rsidRDefault="00DD796A" w:rsidP="00DD796A">
            <w:r w:rsidRPr="009B2A0D">
              <w:t>Pete Rivett</w:t>
            </w:r>
          </w:p>
        </w:tc>
        <w:tc>
          <w:tcPr>
            <w:tcW w:w="2726" w:type="dxa"/>
          </w:tcPr>
          <w:p w:rsidR="00DD796A" w:rsidRPr="00DD796A" w:rsidRDefault="00DD796A" w:rsidP="00DD796A">
            <w:r w:rsidRPr="00DD796A">
              <w:t>Adaptive</w:t>
            </w:r>
          </w:p>
        </w:tc>
      </w:tr>
      <w:tr w:rsidR="00DD796A" w:rsidRPr="009B2A0D" w:rsidTr="00DD796A">
        <w:tc>
          <w:tcPr>
            <w:tcW w:w="3261" w:type="dxa"/>
            <w:hideMark/>
          </w:tcPr>
          <w:p w:rsidR="00DD796A" w:rsidRPr="009B2A0D" w:rsidRDefault="00DD796A" w:rsidP="00DD796A">
            <w:r w:rsidRPr="009B2A0D">
              <w:t>Bobbin Teegarden</w:t>
            </w:r>
          </w:p>
        </w:tc>
        <w:tc>
          <w:tcPr>
            <w:tcW w:w="2726" w:type="dxa"/>
          </w:tcPr>
          <w:p w:rsidR="00DD796A" w:rsidRPr="00DD796A" w:rsidRDefault="00DD796A" w:rsidP="00DD796A">
            <w:r w:rsidRPr="00DD796A">
              <w:t>NoMagic</w:t>
            </w:r>
          </w:p>
        </w:tc>
      </w:tr>
      <w:tr w:rsidR="00DD796A" w:rsidRPr="009B2A0D" w:rsidTr="00DD796A">
        <w:tc>
          <w:tcPr>
            <w:tcW w:w="3261" w:type="dxa"/>
            <w:hideMark/>
          </w:tcPr>
          <w:p w:rsidR="00DD796A" w:rsidRPr="009B2A0D" w:rsidRDefault="00DD796A" w:rsidP="00DD796A">
            <w:r w:rsidRPr="009B2A0D">
              <w:t>Mike Bennett</w:t>
            </w:r>
          </w:p>
        </w:tc>
        <w:tc>
          <w:tcPr>
            <w:tcW w:w="2726" w:type="dxa"/>
          </w:tcPr>
          <w:p w:rsidR="00DD796A" w:rsidRPr="00DD796A" w:rsidRDefault="00DD796A" w:rsidP="00DD796A">
            <w:r w:rsidRPr="00DD796A">
              <w:t>EDM Council</w:t>
            </w:r>
          </w:p>
        </w:tc>
      </w:tr>
      <w:tr w:rsidR="00DD796A" w:rsidRPr="009B2A0D" w:rsidTr="00DD796A">
        <w:tc>
          <w:tcPr>
            <w:tcW w:w="3261" w:type="dxa"/>
            <w:hideMark/>
          </w:tcPr>
          <w:p w:rsidR="00DD796A" w:rsidRPr="009B2A0D" w:rsidRDefault="00DD796A" w:rsidP="00DD796A">
            <w:r w:rsidRPr="009B2A0D">
              <w:t>Nick</w:t>
            </w:r>
            <w:r>
              <w:t xml:space="preserve"> Stavros</w:t>
            </w:r>
          </w:p>
        </w:tc>
        <w:tc>
          <w:tcPr>
            <w:tcW w:w="2726" w:type="dxa"/>
          </w:tcPr>
          <w:p w:rsidR="00DD796A" w:rsidRPr="00DD796A" w:rsidRDefault="00DD796A" w:rsidP="00DD796A">
            <w:r>
              <w:t>Ja</w:t>
            </w:r>
            <w:r w:rsidRPr="00DD796A">
              <w:t>ckrabbit</w:t>
            </w:r>
            <w:r>
              <w:t xml:space="preserve"> Consulting</w:t>
            </w:r>
          </w:p>
        </w:tc>
      </w:tr>
      <w:tr w:rsidR="00DD796A" w:rsidRPr="009B2A0D" w:rsidTr="00DD796A">
        <w:tc>
          <w:tcPr>
            <w:tcW w:w="3261" w:type="dxa"/>
            <w:hideMark/>
          </w:tcPr>
          <w:p w:rsidR="00DD796A" w:rsidRPr="009B2A0D" w:rsidRDefault="00DD796A" w:rsidP="00DD796A">
            <w:r w:rsidRPr="009B2A0D">
              <w:t>Dan Webb</w:t>
            </w:r>
          </w:p>
        </w:tc>
        <w:tc>
          <w:tcPr>
            <w:tcW w:w="2726" w:type="dxa"/>
          </w:tcPr>
          <w:p w:rsidR="00DD796A" w:rsidRPr="00DD796A" w:rsidRDefault="00DD796A" w:rsidP="00DD796A">
            <w:r w:rsidRPr="00DD796A">
              <w:t>Higher Upstream</w:t>
            </w:r>
          </w:p>
        </w:tc>
      </w:tr>
    </w:tbl>
    <w:p w:rsidR="00DD796A" w:rsidRDefault="00DD796A" w:rsidP="00DD796A">
      <w:pPr>
        <w:pStyle w:val="NoSpacing"/>
      </w:pPr>
    </w:p>
    <w:p w:rsidR="00C266DA" w:rsidRDefault="00C266DA" w:rsidP="00DD796A">
      <w:pPr>
        <w:pStyle w:val="Heading1"/>
        <w:spacing w:before="240"/>
      </w:pPr>
      <w:r>
        <w:t>Meeting Notes</w:t>
      </w:r>
    </w:p>
    <w:p w:rsidR="00C266DA" w:rsidRDefault="00C266DA" w:rsidP="00C266DA">
      <w:r>
        <w:t xml:space="preserve">The exercise today was to identify, for each element potentially posted to the ‘Block’ or elsewhere (each piece of variable data), what qualifying terms are needed in order that what is posted is a self-contained XML document or RDF graph, whereby each element of data is accompanied by the terms necessary to understand its context. </w:t>
      </w:r>
    </w:p>
    <w:p w:rsidR="00C266DA" w:rsidRPr="00C266DA" w:rsidRDefault="00C266DA" w:rsidP="00C266DA">
      <w:r>
        <w:rPr>
          <w:noProof/>
        </w:rPr>
        <w:lastRenderedPageBreak/>
        <w:drawing>
          <wp:inline distT="0" distB="0" distL="0" distR="0">
            <wp:extent cx="5943600" cy="55568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s 03 April 201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5556885"/>
                    </a:xfrm>
                    <a:prstGeom prst="rect">
                      <a:avLst/>
                    </a:prstGeom>
                  </pic:spPr>
                </pic:pic>
              </a:graphicData>
            </a:graphic>
          </wp:inline>
        </w:drawing>
      </w:r>
    </w:p>
    <w:p w:rsidR="00C266DA" w:rsidRDefault="00C266DA" w:rsidP="00C266DA">
      <w:pPr>
        <w:pStyle w:val="Heading1"/>
      </w:pPr>
      <w:r>
        <w:t>Qualifying Data for Each Variable Data Posting</w:t>
      </w:r>
    </w:p>
    <w:p w:rsidR="00C266DA" w:rsidRDefault="00C266DA" w:rsidP="00C266DA">
      <w:pPr>
        <w:pStyle w:val="Heading2"/>
      </w:pPr>
      <w:r>
        <w:t>Reset date</w:t>
      </w:r>
    </w:p>
    <w:p w:rsidR="00C266DA" w:rsidRDefault="00C266DA" w:rsidP="00C266DA">
      <w:pPr>
        <w:pStyle w:val="Heading3"/>
      </w:pPr>
      <w:r>
        <w:t>Discussion: What this is</w:t>
      </w:r>
    </w:p>
    <w:p w:rsidR="00C266DA" w:rsidRDefault="00C266DA" w:rsidP="00C266DA">
      <w:r>
        <w:t xml:space="preserve">Is this an actual date or a date + 90 or something? </w:t>
      </w:r>
      <w:proofErr w:type="gramStart"/>
      <w:r>
        <w:t>Hard date or relative date?</w:t>
      </w:r>
      <w:proofErr w:type="gramEnd"/>
    </w:p>
    <w:p w:rsidR="00C266DA" w:rsidRDefault="00C266DA" w:rsidP="00C266DA">
      <w:proofErr w:type="gramStart"/>
      <w:r>
        <w:t>e.g</w:t>
      </w:r>
      <w:proofErr w:type="gramEnd"/>
      <w:r>
        <w:t xml:space="preserve">. if it were 90 days offset from the previous reset date. </w:t>
      </w:r>
    </w:p>
    <w:p w:rsidR="00C266DA" w:rsidRDefault="00C266DA" w:rsidP="00C266DA">
      <w:proofErr w:type="gramStart"/>
      <w:r>
        <w:t>Provenance and pedigree.</w:t>
      </w:r>
      <w:proofErr w:type="gramEnd"/>
      <w:r>
        <w:t xml:space="preserve"> Need to know what the last one is. </w:t>
      </w:r>
    </w:p>
    <w:p w:rsidR="00DD796A" w:rsidRDefault="00DD796A" w:rsidP="00DD796A">
      <w:pPr>
        <w:pStyle w:val="Heading2"/>
      </w:pPr>
      <w:r>
        <w:lastRenderedPageBreak/>
        <w:t>Schedules</w:t>
      </w:r>
    </w:p>
    <w:p w:rsidR="00C266DA" w:rsidRDefault="00C266DA" w:rsidP="00C266DA">
      <w:pPr>
        <w:pStyle w:val="Heading3"/>
      </w:pPr>
      <w:r>
        <w:t>FpML Schedule</w:t>
      </w:r>
    </w:p>
    <w:p w:rsidR="00C266DA" w:rsidRDefault="009D461A" w:rsidP="00C266DA">
      <w:r>
        <w:t>Schedules may be Parametric or</w:t>
      </w:r>
      <w:r w:rsidR="00C266DA">
        <w:t xml:space="preserve"> Explicit.</w:t>
      </w:r>
    </w:p>
    <w:p w:rsidR="00C266DA" w:rsidRDefault="00C266DA" w:rsidP="00C266DA">
      <w:r>
        <w:t>Assume Parametric.</w:t>
      </w:r>
    </w:p>
    <w:p w:rsidR="00C266DA" w:rsidRDefault="00C266DA" w:rsidP="00C266DA">
      <w:r>
        <w:t>Contract as a whole rather than one or other Leg.</w:t>
      </w:r>
    </w:p>
    <w:p w:rsidR="00C266DA" w:rsidRDefault="009D461A" w:rsidP="00C266DA">
      <w:pPr>
        <w:pStyle w:val="Heading3"/>
      </w:pPr>
      <w:r>
        <w:t>Reset Date Qualifying Terms</w:t>
      </w:r>
    </w:p>
    <w:p w:rsidR="00C266DA" w:rsidRPr="00C266DA" w:rsidRDefault="00C266DA" w:rsidP="009D461A">
      <w:pPr>
        <w:numPr>
          <w:ilvl w:val="0"/>
          <w:numId w:val="7"/>
        </w:numPr>
      </w:pPr>
      <w:r>
        <w:t>Contract ID</w:t>
      </w:r>
    </w:p>
    <w:p w:rsidR="00C266DA" w:rsidRDefault="009D461A" w:rsidP="00DD796A">
      <w:pPr>
        <w:pStyle w:val="Heading3"/>
      </w:pPr>
      <w:r>
        <w:t xml:space="preserve">Schedules: </w:t>
      </w:r>
      <w:r w:rsidR="00DD796A">
        <w:t>Date adjustment rules</w:t>
      </w:r>
    </w:p>
    <w:p w:rsidR="00C266DA" w:rsidRDefault="00C266DA" w:rsidP="00C266DA">
      <w:r>
        <w:t>There are 2 kinds of date adjustment rule</w:t>
      </w:r>
    </w:p>
    <w:p w:rsidR="00C266DA" w:rsidRDefault="00C266DA" w:rsidP="00C266DA">
      <w:r>
        <w:t xml:space="preserve">Rule 1: Date roll rule - when the date returned by the parametric specification of a date, is a </w:t>
      </w:r>
      <w:proofErr w:type="spellStart"/>
      <w:r>
        <w:t>non working</w:t>
      </w:r>
      <w:proofErr w:type="spellEnd"/>
      <w:r>
        <w:t xml:space="preserve"> day. </w:t>
      </w:r>
    </w:p>
    <w:p w:rsidR="00C266DA" w:rsidRDefault="00C266DA" w:rsidP="00C266DA">
      <w:r>
        <w:t>Depends on 2 things:</w:t>
      </w:r>
    </w:p>
    <w:p w:rsidR="00C266DA" w:rsidRDefault="00C266DA" w:rsidP="00DD796A">
      <w:pPr>
        <w:numPr>
          <w:ilvl w:val="0"/>
          <w:numId w:val="12"/>
        </w:numPr>
        <w:spacing w:after="0"/>
      </w:pPr>
      <w:r>
        <w:t>Weekend dates</w:t>
      </w:r>
    </w:p>
    <w:p w:rsidR="00C266DA" w:rsidRDefault="00C266DA" w:rsidP="00DD796A">
      <w:pPr>
        <w:numPr>
          <w:ilvl w:val="0"/>
          <w:numId w:val="12"/>
        </w:numPr>
        <w:spacing w:after="0"/>
      </w:pPr>
      <w:r>
        <w:t xml:space="preserve">Holidays - specify a Business Calendar. </w:t>
      </w:r>
    </w:p>
    <w:p w:rsidR="00C266DA" w:rsidRDefault="00C266DA" w:rsidP="00C266DA">
      <w:r>
        <w:t xml:space="preserve">Business Center: </w:t>
      </w:r>
      <w:r w:rsidR="009D461A">
        <w:t>e.g. Frankfurt, London, the EU.</w:t>
      </w:r>
    </w:p>
    <w:p w:rsidR="00C266DA" w:rsidRDefault="00C266DA" w:rsidP="00C266DA">
      <w:r>
        <w:t xml:space="preserve">The Date Roll Rule determines what to do when a specified date falls on a </w:t>
      </w:r>
      <w:proofErr w:type="spellStart"/>
      <w:r>
        <w:t>non working</w:t>
      </w:r>
      <w:proofErr w:type="spellEnd"/>
      <w:r>
        <w:t xml:space="preserve"> day (as specified in the Business Calendar). </w:t>
      </w:r>
    </w:p>
    <w:p w:rsidR="00C266DA" w:rsidRDefault="00C266DA" w:rsidP="00C266DA">
      <w:r>
        <w:t>Rule 2: Month End Roll back Rule.</w:t>
      </w:r>
    </w:p>
    <w:p w:rsidR="00C266DA" w:rsidRDefault="00C266DA" w:rsidP="00C266DA">
      <w:pPr>
        <w:pStyle w:val="Heading3"/>
      </w:pPr>
      <w:r>
        <w:t>Qualifying Reset Date:</w:t>
      </w:r>
    </w:p>
    <w:p w:rsidR="00C266DA" w:rsidRDefault="00C266DA" w:rsidP="00C266DA">
      <w:r>
        <w:t>1. Identify the contract.</w:t>
      </w:r>
    </w:p>
    <w:p w:rsidR="00C266DA" w:rsidRDefault="00C266DA" w:rsidP="00C266DA">
      <w:proofErr w:type="gramStart"/>
      <w:r>
        <w:t>Contract type (UPI) + Parties + Effective Dat</w:t>
      </w:r>
      <w:r w:rsidR="009D461A">
        <w:t>e.</w:t>
      </w:r>
      <w:proofErr w:type="gramEnd"/>
    </w:p>
    <w:p w:rsidR="00C266DA" w:rsidRDefault="00C266DA" w:rsidP="00C266DA">
      <w:r>
        <w:t>Contract Type: IR Swap, USD / Basis etc.</w:t>
      </w:r>
    </w:p>
    <w:p w:rsidR="009D461A" w:rsidRDefault="00C266DA" w:rsidP="00C266DA">
      <w:r>
        <w:t xml:space="preserve">UPI = Unique Product </w:t>
      </w:r>
      <w:r w:rsidR="009D461A">
        <w:t>Identifier</w:t>
      </w:r>
    </w:p>
    <w:p w:rsidR="00C266DA" w:rsidRDefault="009D461A" w:rsidP="009D461A">
      <w:pPr>
        <w:pStyle w:val="Heading3"/>
      </w:pPr>
      <w:r>
        <w:t>Discussion</w:t>
      </w:r>
    </w:p>
    <w:p w:rsidR="00C266DA" w:rsidRDefault="00C266DA" w:rsidP="00C266DA">
      <w:proofErr w:type="gramStart"/>
      <w:r>
        <w:t>What if 2 more identical deals on s</w:t>
      </w:r>
      <w:r w:rsidR="009D461A">
        <w:t>ame date between same parties.</w:t>
      </w:r>
      <w:proofErr w:type="gramEnd"/>
      <w:r w:rsidR="009D461A">
        <w:t xml:space="preserve"> </w:t>
      </w:r>
    </w:p>
    <w:p w:rsidR="00C266DA" w:rsidRDefault="00C266DA" w:rsidP="00C266DA">
      <w:r>
        <w:t xml:space="preserve">Need a way to refer to the exact instance. </w:t>
      </w:r>
    </w:p>
    <w:p w:rsidR="00C266DA" w:rsidRDefault="00C266DA" w:rsidP="00C266DA">
      <w:r>
        <w:t xml:space="preserve">Possible </w:t>
      </w:r>
      <w:r w:rsidR="009D461A">
        <w:t>workaround</w:t>
      </w:r>
      <w:r>
        <w:t xml:space="preserve">: exact timestamp. </w:t>
      </w:r>
    </w:p>
    <w:p w:rsidR="00C266DA" w:rsidRDefault="00C266DA" w:rsidP="00C266DA">
      <w:r>
        <w:t>The fixed stuff - doesn't t</w:t>
      </w:r>
      <w:r w:rsidR="009D461A">
        <w:t>hat a unique hash or something?</w:t>
      </w:r>
      <w:r>
        <w:t xml:space="preserve"> </w:t>
      </w:r>
      <w:proofErr w:type="gramStart"/>
      <w:r>
        <w:t xml:space="preserve">Some </w:t>
      </w:r>
      <w:r w:rsidR="009D461A">
        <w:t xml:space="preserve">unique identity on the </w:t>
      </w:r>
      <w:proofErr w:type="spellStart"/>
      <w:r w:rsidR="009D461A">
        <w:t>BlockStuff</w:t>
      </w:r>
      <w:proofErr w:type="spellEnd"/>
      <w:r w:rsidR="009D461A">
        <w:t>.</w:t>
      </w:r>
      <w:proofErr w:type="gramEnd"/>
      <w:r w:rsidR="009D461A">
        <w:t xml:space="preserve"> </w:t>
      </w:r>
    </w:p>
    <w:p w:rsidR="00C266DA" w:rsidRDefault="009D461A" w:rsidP="00C266DA">
      <w:r>
        <w:t xml:space="preserve">This gets a Unique ID. </w:t>
      </w:r>
    </w:p>
    <w:p w:rsidR="00C266DA" w:rsidRDefault="00C266DA" w:rsidP="00C266DA">
      <w:r>
        <w:lastRenderedPageBreak/>
        <w:t>Therefore this (</w:t>
      </w:r>
      <w:proofErr w:type="spellStart"/>
      <w:r>
        <w:t>Blockthing</w:t>
      </w:r>
      <w:proofErr w:type="spellEnd"/>
      <w:r>
        <w:t xml:space="preserve"> specific) unique ID need</w:t>
      </w:r>
      <w:r w:rsidR="009D461A">
        <w:t xml:space="preserve">s to accompany the Reset Date. </w:t>
      </w:r>
    </w:p>
    <w:p w:rsidR="00C266DA" w:rsidRDefault="009D461A" w:rsidP="00C266DA">
      <w:r>
        <w:t>Don’t</w:t>
      </w:r>
      <w:r w:rsidR="00C266DA">
        <w:t xml:space="preserve">' also need the Effective Date </w:t>
      </w:r>
      <w:r>
        <w:t>f</w:t>
      </w:r>
      <w:r w:rsidR="00C266DA">
        <w:t xml:space="preserve">or the Parties as these </w:t>
      </w:r>
      <w:r>
        <w:t xml:space="preserve">are covered by that Unique ID. </w:t>
      </w:r>
    </w:p>
    <w:p w:rsidR="00C266DA" w:rsidRDefault="00C266DA" w:rsidP="00C266DA">
      <w:r>
        <w:t>Terms v Conditions - can segregate these.</w:t>
      </w:r>
      <w:r w:rsidR="009D461A">
        <w:t xml:space="preserve"> FIBO combines these as ‘Terms Sets’ or more accurately, descriptions of Commitments (these include conditions that qualify these commitments). </w:t>
      </w:r>
    </w:p>
    <w:p w:rsidR="00C266DA" w:rsidRDefault="00C266DA" w:rsidP="00C266DA">
      <w:r>
        <w:t>Term = Commitment</w:t>
      </w:r>
    </w:p>
    <w:p w:rsidR="00C266DA" w:rsidRDefault="00C266DA" w:rsidP="00C266DA">
      <w:r>
        <w:t xml:space="preserve">Condition = something that is continually evaluated. </w:t>
      </w:r>
    </w:p>
    <w:p w:rsidR="00C266DA" w:rsidRDefault="00C266DA" w:rsidP="00C266DA">
      <w:pPr>
        <w:pStyle w:val="Heading2"/>
      </w:pPr>
      <w:r>
        <w:t>Interest Accrual Date</w:t>
      </w:r>
    </w:p>
    <w:p w:rsidR="00C266DA" w:rsidRDefault="00C266DA" w:rsidP="00C266DA">
      <w:pPr>
        <w:pStyle w:val="Heading3"/>
      </w:pPr>
      <w:r>
        <w:t>Assume</w:t>
      </w:r>
    </w:p>
    <w:p w:rsidR="00C266DA" w:rsidRDefault="00C266DA" w:rsidP="00C266DA">
      <w:r>
        <w:t xml:space="preserve">Reset date specified parametrically. </w:t>
      </w:r>
    </w:p>
    <w:p w:rsidR="00C266DA" w:rsidRDefault="00C266DA" w:rsidP="00C266DA">
      <w:r>
        <w:t>Interest Accrual Date specified relative to Reset Date.</w:t>
      </w:r>
    </w:p>
    <w:p w:rsidR="00C266DA" w:rsidRDefault="00C266DA" w:rsidP="00C266DA">
      <w:r>
        <w:t>Reset date specified typically Day + Month + Frequency</w:t>
      </w:r>
    </w:p>
    <w:p w:rsidR="00C266DA" w:rsidRDefault="00C266DA" w:rsidP="00C266DA">
      <w:r>
        <w:t>Quarterly it would say e.g. 28/1 28/4 28/7 28/11</w:t>
      </w:r>
    </w:p>
    <w:p w:rsidR="00C266DA" w:rsidRDefault="00C266DA" w:rsidP="00C266DA">
      <w:proofErr w:type="spellStart"/>
      <w:proofErr w:type="gramStart"/>
      <w:r>
        <w:t>gMonthDay</w:t>
      </w:r>
      <w:proofErr w:type="spellEnd"/>
      <w:proofErr w:type="gramEnd"/>
    </w:p>
    <w:p w:rsidR="00C266DA" w:rsidRDefault="00C266DA" w:rsidP="00C266DA">
      <w:r>
        <w:t xml:space="preserve">Frequency = Quarterly. </w:t>
      </w:r>
    </w:p>
    <w:p w:rsidR="00C266DA" w:rsidRDefault="00C266DA" w:rsidP="00C266DA">
      <w:proofErr w:type="gramStart"/>
      <w:r>
        <w:t>Returns a particular day.</w:t>
      </w:r>
      <w:proofErr w:type="gramEnd"/>
    </w:p>
    <w:p w:rsidR="00C266DA" w:rsidRDefault="00C266DA" w:rsidP="00C266DA">
      <w:r>
        <w:t>Assume: specified relative to Reset Date. Reset Date +2 days</w:t>
      </w:r>
    </w:p>
    <w:p w:rsidR="00C266DA" w:rsidRDefault="00C266DA" w:rsidP="00C266DA">
      <w:pPr>
        <w:pStyle w:val="Heading3"/>
      </w:pPr>
      <w:r>
        <w:t xml:space="preserve">Interest Accrual Date Qualifying terms: </w:t>
      </w:r>
    </w:p>
    <w:p w:rsidR="00C266DA" w:rsidRDefault="00C266DA" w:rsidP="00FA2D5B">
      <w:pPr>
        <w:numPr>
          <w:ilvl w:val="0"/>
          <w:numId w:val="1"/>
        </w:numPr>
        <w:spacing w:after="0"/>
      </w:pPr>
      <w:r>
        <w:t>Reset Date</w:t>
      </w:r>
    </w:p>
    <w:p w:rsidR="00C266DA" w:rsidRDefault="00C266DA" w:rsidP="00FA2D5B">
      <w:pPr>
        <w:numPr>
          <w:ilvl w:val="0"/>
          <w:numId w:val="1"/>
        </w:numPr>
        <w:spacing w:after="0"/>
      </w:pPr>
      <w:r>
        <w:t>Contract ID</w:t>
      </w:r>
    </w:p>
    <w:p w:rsidR="00C266DA" w:rsidRDefault="00C266DA" w:rsidP="00C266DA">
      <w:r>
        <w:t>This date is used as input to Interest Accrual Amount calculations.</w:t>
      </w:r>
    </w:p>
    <w:p w:rsidR="00C266DA" w:rsidRDefault="00C266DA" w:rsidP="00FA2D5B">
      <w:pPr>
        <w:pStyle w:val="Heading2"/>
      </w:pPr>
      <w:r>
        <w:t>Floating Rate</w:t>
      </w:r>
    </w:p>
    <w:p w:rsidR="00C266DA" w:rsidRDefault="00C266DA" w:rsidP="00FA2D5B">
      <w:pPr>
        <w:pStyle w:val="Heading3"/>
      </w:pPr>
      <w:r>
        <w:t>Qualifying terms are:</w:t>
      </w:r>
    </w:p>
    <w:p w:rsidR="00C266DA" w:rsidRDefault="00C266DA" w:rsidP="00FA2D5B">
      <w:pPr>
        <w:numPr>
          <w:ilvl w:val="0"/>
          <w:numId w:val="2"/>
        </w:numPr>
        <w:spacing w:after="0"/>
      </w:pPr>
      <w:r>
        <w:t>Reset date</w:t>
      </w:r>
    </w:p>
    <w:p w:rsidR="00C266DA" w:rsidRDefault="00C266DA" w:rsidP="00FA2D5B">
      <w:pPr>
        <w:numPr>
          <w:ilvl w:val="0"/>
          <w:numId w:val="2"/>
        </w:numPr>
        <w:spacing w:after="0"/>
      </w:pPr>
      <w:r>
        <w:t>Contract ID</w:t>
      </w:r>
    </w:p>
    <w:p w:rsidR="00C266DA" w:rsidRDefault="00C266DA" w:rsidP="00C266DA">
      <w:proofErr w:type="gramStart"/>
      <w:r>
        <w:t>LIBOR?</w:t>
      </w:r>
      <w:proofErr w:type="gramEnd"/>
      <w:r>
        <w:t xml:space="preserve"> Redundant so no (identified in the Terms and Conditions)</w:t>
      </w:r>
    </w:p>
    <w:p w:rsidR="00FA2D5B" w:rsidRDefault="00FA2D5B" w:rsidP="00FA2D5B">
      <w:pPr>
        <w:pStyle w:val="Heading3"/>
      </w:pPr>
      <w:r>
        <w:t>Discussion</w:t>
      </w:r>
    </w:p>
    <w:p w:rsidR="00C266DA" w:rsidRDefault="00C266DA" w:rsidP="00C266DA">
      <w:r>
        <w:t>Does it need Lifecycle (validity)</w:t>
      </w:r>
      <w:r w:rsidR="00FA2D5B">
        <w:t>?</w:t>
      </w:r>
    </w:p>
    <w:p w:rsidR="00C266DA" w:rsidRDefault="00C266DA" w:rsidP="00C266DA">
      <w:r>
        <w:t>What qualifies the Rate?</w:t>
      </w:r>
    </w:p>
    <w:p w:rsidR="00C266DA" w:rsidRDefault="00C266DA" w:rsidP="00FA2D5B">
      <w:pPr>
        <w:numPr>
          <w:ilvl w:val="0"/>
          <w:numId w:val="3"/>
        </w:numPr>
        <w:spacing w:after="0"/>
      </w:pPr>
      <w:r>
        <w:t>Tenor</w:t>
      </w:r>
    </w:p>
    <w:p w:rsidR="00C266DA" w:rsidRDefault="00C266DA" w:rsidP="00FA2D5B">
      <w:pPr>
        <w:numPr>
          <w:ilvl w:val="0"/>
          <w:numId w:val="3"/>
        </w:numPr>
        <w:spacing w:after="0"/>
      </w:pPr>
      <w:r>
        <w:lastRenderedPageBreak/>
        <w:t>Calculation Agent</w:t>
      </w:r>
    </w:p>
    <w:p w:rsidR="00C266DA" w:rsidRDefault="00C266DA" w:rsidP="00FA2D5B">
      <w:pPr>
        <w:numPr>
          <w:ilvl w:val="0"/>
          <w:numId w:val="3"/>
        </w:numPr>
        <w:spacing w:after="0"/>
      </w:pPr>
      <w:r>
        <w:t>Date / Time of instruction to Calculation Agent</w:t>
      </w:r>
    </w:p>
    <w:p w:rsidR="00C266DA" w:rsidRDefault="00C266DA" w:rsidP="00FA2D5B">
      <w:pPr>
        <w:numPr>
          <w:ilvl w:val="0"/>
          <w:numId w:val="3"/>
        </w:numPr>
        <w:spacing w:after="0"/>
      </w:pPr>
      <w:r>
        <w:t>Currency</w:t>
      </w:r>
    </w:p>
    <w:p w:rsidR="00C266DA" w:rsidRDefault="00C266DA" w:rsidP="00FA2D5B">
      <w:pPr>
        <w:numPr>
          <w:ilvl w:val="0"/>
          <w:numId w:val="3"/>
        </w:numPr>
        <w:spacing w:after="0"/>
      </w:pPr>
      <w:r>
        <w:t>Publisher etc. (in this case LIBOR)</w:t>
      </w:r>
    </w:p>
    <w:p w:rsidR="00FA2D5B" w:rsidRDefault="00FA2D5B" w:rsidP="00FA2D5B">
      <w:pPr>
        <w:spacing w:after="0"/>
      </w:pPr>
    </w:p>
    <w:p w:rsidR="00C266DA" w:rsidRDefault="00C266DA" w:rsidP="00C266DA">
      <w:r w:rsidRPr="00FA2D5B">
        <w:rPr>
          <w:b/>
        </w:rPr>
        <w:t>Suggestion:</w:t>
      </w:r>
      <w:r>
        <w:t xml:space="preserve"> we don't need to replicate in the posted data element qualifiers, the things that are already given in the Terms and Conditions. </w:t>
      </w:r>
    </w:p>
    <w:p w:rsidR="00C266DA" w:rsidRDefault="00FA2D5B" w:rsidP="00C266DA">
      <w:r>
        <w:t xml:space="preserve">Therefore: </w:t>
      </w:r>
    </w:p>
    <w:p w:rsidR="00FA2D5B" w:rsidRDefault="00FA2D5B" w:rsidP="00FA2D5B">
      <w:pPr>
        <w:pStyle w:val="Heading3"/>
      </w:pPr>
      <w:r>
        <w:t>Floating Rate Qualifying Terms</w:t>
      </w:r>
    </w:p>
    <w:p w:rsidR="00FA2D5B" w:rsidRDefault="00FA2D5B" w:rsidP="00FA2D5B">
      <w:pPr>
        <w:numPr>
          <w:ilvl w:val="0"/>
          <w:numId w:val="3"/>
        </w:numPr>
        <w:spacing w:after="0"/>
      </w:pPr>
      <w:r>
        <w:t>Contract ID</w:t>
      </w:r>
    </w:p>
    <w:p w:rsidR="00FA2D5B" w:rsidRDefault="00FA2D5B" w:rsidP="00FA2D5B">
      <w:pPr>
        <w:numPr>
          <w:ilvl w:val="0"/>
          <w:numId w:val="3"/>
        </w:numPr>
        <w:spacing w:after="0"/>
      </w:pPr>
      <w:r>
        <w:t>Reset Date (identifies which quarterly cycle this belongs to)</w:t>
      </w:r>
    </w:p>
    <w:p w:rsidR="00FA2D5B" w:rsidRDefault="00FA2D5B" w:rsidP="00FA2D5B">
      <w:pPr>
        <w:numPr>
          <w:ilvl w:val="0"/>
          <w:numId w:val="3"/>
        </w:numPr>
        <w:spacing w:after="0"/>
      </w:pPr>
      <w:r>
        <w:t>Date / Time of instruction to Calculation Agent</w:t>
      </w:r>
    </w:p>
    <w:p w:rsidR="00FA2D5B" w:rsidRPr="00FA2D5B" w:rsidRDefault="00FA2D5B" w:rsidP="00FA2D5B"/>
    <w:p w:rsidR="00C266DA" w:rsidRDefault="00C266DA" w:rsidP="00FA2D5B">
      <w:pPr>
        <w:pStyle w:val="Heading2"/>
      </w:pPr>
      <w:r>
        <w:t>Floating Amount Payable</w:t>
      </w:r>
    </w:p>
    <w:p w:rsidR="00C266DA" w:rsidRDefault="00C266DA" w:rsidP="00C266DA">
      <w:r>
        <w:t>What it depends on v what we need to actually post somewhere</w:t>
      </w:r>
      <w:proofErr w:type="gramStart"/>
      <w:r>
        <w:t>...</w:t>
      </w:r>
      <w:proofErr w:type="gramEnd"/>
    </w:p>
    <w:p w:rsidR="00C266DA" w:rsidRDefault="00C266DA" w:rsidP="00FA2D5B">
      <w:pPr>
        <w:pStyle w:val="Heading3"/>
      </w:pPr>
      <w:r>
        <w:t>What it depends on</w:t>
      </w:r>
    </w:p>
    <w:p w:rsidR="00C266DA" w:rsidRDefault="00C266DA" w:rsidP="009B2A0D">
      <w:pPr>
        <w:numPr>
          <w:ilvl w:val="0"/>
          <w:numId w:val="8"/>
        </w:numPr>
        <w:spacing w:after="0"/>
      </w:pPr>
      <w:r>
        <w:t xml:space="preserve">Interest Accrual Date (directly or via Reset Date + Offset in </w:t>
      </w:r>
      <w:r w:rsidR="00FA2D5B">
        <w:t>schedule</w:t>
      </w:r>
      <w:r>
        <w:t>)</w:t>
      </w:r>
    </w:p>
    <w:p w:rsidR="00C266DA" w:rsidRDefault="009B2A0D" w:rsidP="009B2A0D">
      <w:pPr>
        <w:numPr>
          <w:ilvl w:val="0"/>
          <w:numId w:val="8"/>
        </w:numPr>
        <w:spacing w:after="0"/>
      </w:pPr>
      <w:r>
        <w:t>Interest R</w:t>
      </w:r>
      <w:r w:rsidR="00C266DA">
        <w:t xml:space="preserve">ate </w:t>
      </w:r>
    </w:p>
    <w:p w:rsidR="00C266DA" w:rsidRDefault="00C266DA" w:rsidP="009B2A0D">
      <w:pPr>
        <w:numPr>
          <w:ilvl w:val="1"/>
          <w:numId w:val="9"/>
        </w:numPr>
        <w:spacing w:after="0"/>
      </w:pPr>
      <w:r>
        <w:t xml:space="preserve">Underlying (LIBOR (in </w:t>
      </w:r>
      <w:r w:rsidR="00FA2D5B">
        <w:t xml:space="preserve">Terms </w:t>
      </w:r>
      <w:r>
        <w:t xml:space="preserve">Sheet) </w:t>
      </w:r>
    </w:p>
    <w:p w:rsidR="00C266DA" w:rsidRDefault="00C266DA" w:rsidP="00C266DA">
      <w:pPr>
        <w:numPr>
          <w:ilvl w:val="1"/>
          <w:numId w:val="9"/>
        </w:numPr>
        <w:spacing w:after="0"/>
      </w:pPr>
      <w:r>
        <w:t>Underlying Value = read from Calculation Agent  = Floating Rate</w:t>
      </w:r>
    </w:p>
    <w:p w:rsidR="00C266DA" w:rsidRDefault="00C266DA" w:rsidP="009B2A0D">
      <w:pPr>
        <w:numPr>
          <w:ilvl w:val="0"/>
          <w:numId w:val="10"/>
        </w:numPr>
        <w:spacing w:after="0"/>
      </w:pPr>
      <w:r>
        <w:t>Margin (in the terms sheet) = 50bp</w:t>
      </w:r>
    </w:p>
    <w:p w:rsidR="009B2A0D" w:rsidRDefault="009B2A0D" w:rsidP="009B2A0D">
      <w:pPr>
        <w:numPr>
          <w:ilvl w:val="0"/>
          <w:numId w:val="10"/>
        </w:numPr>
        <w:spacing w:after="0"/>
      </w:pPr>
      <w:r>
        <w:t>Principal (or Notional) amount (Number + Currency)</w:t>
      </w:r>
    </w:p>
    <w:p w:rsidR="00C03A38" w:rsidRDefault="00C03A38" w:rsidP="00C03A38">
      <w:pPr>
        <w:numPr>
          <w:ilvl w:val="0"/>
          <w:numId w:val="10"/>
        </w:numPr>
        <w:spacing w:after="0"/>
      </w:pPr>
      <w:r>
        <w:t>Notional Amount (in Terms Sheet, so implied via Contract ID)</w:t>
      </w:r>
    </w:p>
    <w:p w:rsidR="00C03A38" w:rsidRDefault="00C03A38" w:rsidP="00C03A38">
      <w:pPr>
        <w:spacing w:after="0"/>
      </w:pPr>
    </w:p>
    <w:p w:rsidR="00C266DA" w:rsidRDefault="00FA2D5B" w:rsidP="00FA2D5B">
      <w:pPr>
        <w:pStyle w:val="Heading3"/>
      </w:pPr>
      <w:r>
        <w:t>Floating Amount Payable Qualifying Terms</w:t>
      </w:r>
    </w:p>
    <w:p w:rsidR="00C266DA" w:rsidRDefault="00C266DA" w:rsidP="00FA2D5B">
      <w:pPr>
        <w:numPr>
          <w:ilvl w:val="0"/>
          <w:numId w:val="4"/>
        </w:numPr>
        <w:spacing w:after="0"/>
      </w:pPr>
      <w:r>
        <w:t>Contract ID</w:t>
      </w:r>
    </w:p>
    <w:p w:rsidR="00C266DA" w:rsidRDefault="00C266DA" w:rsidP="00FA2D5B">
      <w:pPr>
        <w:numPr>
          <w:ilvl w:val="0"/>
          <w:numId w:val="4"/>
        </w:numPr>
        <w:spacing w:after="0"/>
      </w:pPr>
      <w:r>
        <w:t>Something to identify the quarter in which it applies (Reset date OR Interest Accrual Date)</w:t>
      </w:r>
    </w:p>
    <w:p w:rsidR="00FA2D5B" w:rsidRDefault="00FA2D5B" w:rsidP="00FA2D5B">
      <w:pPr>
        <w:spacing w:after="0"/>
      </w:pPr>
    </w:p>
    <w:p w:rsidR="00C266DA" w:rsidRDefault="00C266DA" w:rsidP="00C266DA">
      <w:r>
        <w:t>No cardinality needed in this example since th</w:t>
      </w:r>
      <w:r w:rsidR="009D461A">
        <w:t xml:space="preserve">is is specifically an IR Swap. </w:t>
      </w:r>
    </w:p>
    <w:p w:rsidR="009B2A0D" w:rsidRDefault="009B2A0D" w:rsidP="00C266DA"/>
    <w:p w:rsidR="00C266DA" w:rsidRDefault="00C266DA" w:rsidP="00FA2D5B">
      <w:pPr>
        <w:pStyle w:val="Heading2"/>
      </w:pPr>
      <w:r>
        <w:t>Fixed Amount Payable</w:t>
      </w:r>
    </w:p>
    <w:p w:rsidR="00FA2D5B" w:rsidRPr="00FA2D5B" w:rsidRDefault="00FA2D5B" w:rsidP="00FA2D5B">
      <w:pPr>
        <w:pStyle w:val="Heading3"/>
      </w:pPr>
      <w:r>
        <w:t>Qualifying Terms</w:t>
      </w:r>
    </w:p>
    <w:p w:rsidR="00C266DA" w:rsidRDefault="00C266DA" w:rsidP="00FA2D5B">
      <w:pPr>
        <w:numPr>
          <w:ilvl w:val="0"/>
          <w:numId w:val="5"/>
        </w:numPr>
        <w:spacing w:after="0"/>
      </w:pPr>
      <w:r>
        <w:t>Contract ID</w:t>
      </w:r>
    </w:p>
    <w:p w:rsidR="00C266DA" w:rsidRDefault="00C266DA" w:rsidP="00FA2D5B">
      <w:pPr>
        <w:numPr>
          <w:ilvl w:val="0"/>
          <w:numId w:val="5"/>
        </w:numPr>
        <w:spacing w:after="0"/>
      </w:pPr>
      <w:r>
        <w:t>Something identifying the quarter</w:t>
      </w:r>
      <w:r w:rsidR="009D461A">
        <w:t xml:space="preserve"> (Reset Date)</w:t>
      </w:r>
    </w:p>
    <w:p w:rsidR="00C266DA" w:rsidRDefault="00C266DA" w:rsidP="00FA2D5B">
      <w:pPr>
        <w:pStyle w:val="Heading2"/>
      </w:pPr>
      <w:r>
        <w:lastRenderedPageBreak/>
        <w:t>Netted Amount</w:t>
      </w:r>
    </w:p>
    <w:p w:rsidR="00C266DA" w:rsidRDefault="00C266DA" w:rsidP="00FA2D5B">
      <w:pPr>
        <w:pStyle w:val="Heading3"/>
      </w:pPr>
      <w:r>
        <w:t>Depends on:</w:t>
      </w:r>
    </w:p>
    <w:p w:rsidR="00C266DA" w:rsidRDefault="00C266DA" w:rsidP="00FA2D5B">
      <w:pPr>
        <w:numPr>
          <w:ilvl w:val="0"/>
          <w:numId w:val="6"/>
        </w:numPr>
        <w:spacing w:after="0"/>
      </w:pPr>
      <w:r>
        <w:t>Fixed Amount Payable</w:t>
      </w:r>
    </w:p>
    <w:p w:rsidR="00C266DA" w:rsidRDefault="00C266DA" w:rsidP="00FA2D5B">
      <w:pPr>
        <w:numPr>
          <w:ilvl w:val="0"/>
          <w:numId w:val="6"/>
        </w:numPr>
        <w:spacing w:after="0"/>
      </w:pPr>
      <w:r>
        <w:t>Floating Amount payable</w:t>
      </w:r>
    </w:p>
    <w:p w:rsidR="00C266DA" w:rsidRDefault="00C266DA" w:rsidP="00FA2D5B">
      <w:pPr>
        <w:numPr>
          <w:ilvl w:val="0"/>
          <w:numId w:val="6"/>
        </w:numPr>
        <w:spacing w:after="0"/>
      </w:pPr>
      <w:r>
        <w:t>Payment Date</w:t>
      </w:r>
    </w:p>
    <w:p w:rsidR="00C266DA" w:rsidRDefault="00C266DA" w:rsidP="00FA2D5B">
      <w:pPr>
        <w:numPr>
          <w:ilvl w:val="0"/>
          <w:numId w:val="6"/>
        </w:numPr>
        <w:spacing w:after="0"/>
      </w:pPr>
      <w:r>
        <w:t xml:space="preserve">Contract ID (to </w:t>
      </w:r>
      <w:r w:rsidR="00FA2D5B">
        <w:t>reference</w:t>
      </w:r>
      <w:r>
        <w:t xml:space="preserve"> the schedule). </w:t>
      </w:r>
    </w:p>
    <w:p w:rsidR="00017CD2" w:rsidRDefault="00FA2D5B" w:rsidP="00FA2D5B">
      <w:pPr>
        <w:pStyle w:val="Heading3"/>
      </w:pPr>
      <w:r>
        <w:t>Netted Amount Qualifying Terms</w:t>
      </w:r>
    </w:p>
    <w:p w:rsidR="00FA2D5B" w:rsidRDefault="00FA2D5B" w:rsidP="00FA2D5B">
      <w:r>
        <w:t>Removing terms that are identified via the Contract ID</w:t>
      </w:r>
    </w:p>
    <w:p w:rsidR="00FA2D5B" w:rsidRDefault="00FA2D5B" w:rsidP="00FA2D5B">
      <w:pPr>
        <w:numPr>
          <w:ilvl w:val="0"/>
          <w:numId w:val="6"/>
        </w:numPr>
        <w:spacing w:after="0"/>
      </w:pPr>
      <w:r>
        <w:t>Contract ID (to reference the schedule)</w:t>
      </w:r>
    </w:p>
    <w:p w:rsidR="00FA2D5B" w:rsidRDefault="00FA2D5B" w:rsidP="00FA2D5B">
      <w:pPr>
        <w:numPr>
          <w:ilvl w:val="0"/>
          <w:numId w:val="6"/>
        </w:numPr>
        <w:spacing w:after="0"/>
      </w:pPr>
      <w:r>
        <w:t>Reset Date to identify the quarter</w:t>
      </w:r>
    </w:p>
    <w:p w:rsidR="00FA2D5B" w:rsidRDefault="00FA2D5B" w:rsidP="00FA2D5B">
      <w:pPr>
        <w:numPr>
          <w:ilvl w:val="0"/>
          <w:numId w:val="6"/>
        </w:numPr>
        <w:spacing w:after="0"/>
      </w:pPr>
      <w:r>
        <w:t>Payment Date</w:t>
      </w:r>
      <w:r w:rsidR="009B2A0D">
        <w:t xml:space="preserve"> (redundant? Returned by Schedule in the Term Sheet, for a given quarter as</w:t>
      </w:r>
      <w:r w:rsidR="00C03A38">
        <w:t xml:space="preserve"> identified by the Reset Date)</w:t>
      </w:r>
    </w:p>
    <w:p w:rsidR="00C03A38" w:rsidRDefault="00C03A38" w:rsidP="00FA2D5B">
      <w:pPr>
        <w:numPr>
          <w:ilvl w:val="0"/>
          <w:numId w:val="6"/>
        </w:numPr>
        <w:spacing w:after="0"/>
      </w:pPr>
      <w:r>
        <w:t>Currency</w:t>
      </w:r>
    </w:p>
    <w:p w:rsidR="00FA2D5B" w:rsidRDefault="00FA2D5B" w:rsidP="00FA2D5B"/>
    <w:p w:rsidR="00C03A38" w:rsidRPr="00FA2D5B" w:rsidRDefault="00C03A38" w:rsidP="00FA2D5B">
      <w:bookmarkStart w:id="0" w:name="_GoBack"/>
      <w:bookmarkEnd w:id="0"/>
    </w:p>
    <w:sectPr w:rsidR="00C03A38" w:rsidRPr="00FA2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333"/>
    <w:multiLevelType w:val="hybridMultilevel"/>
    <w:tmpl w:val="77A21A30"/>
    <w:lvl w:ilvl="0" w:tplc="21B208AE">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83329"/>
    <w:multiLevelType w:val="hybridMultilevel"/>
    <w:tmpl w:val="F2C62422"/>
    <w:lvl w:ilvl="0" w:tplc="21B208A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502A4A"/>
    <w:multiLevelType w:val="hybridMultilevel"/>
    <w:tmpl w:val="08866D7C"/>
    <w:lvl w:ilvl="0" w:tplc="21B208A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D58F6"/>
    <w:multiLevelType w:val="hybridMultilevel"/>
    <w:tmpl w:val="48C04C84"/>
    <w:lvl w:ilvl="0" w:tplc="21B208A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E30804"/>
    <w:multiLevelType w:val="hybridMultilevel"/>
    <w:tmpl w:val="881E8C52"/>
    <w:lvl w:ilvl="0" w:tplc="21B208A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2067C"/>
    <w:multiLevelType w:val="hybridMultilevel"/>
    <w:tmpl w:val="1F8E05D2"/>
    <w:lvl w:ilvl="0" w:tplc="21B208AE">
      <w:start w:val="1"/>
      <w:numFmt w:val="bullet"/>
      <w:lvlRestart w:val="0"/>
      <w:lvlText w:val=""/>
      <w:lvlJc w:val="left"/>
      <w:pPr>
        <w:ind w:left="720" w:hanging="360"/>
      </w:pPr>
      <w:rPr>
        <w:rFonts w:ascii="Symbol" w:hAnsi="Symbol" w:hint="default"/>
      </w:rPr>
    </w:lvl>
    <w:lvl w:ilvl="1" w:tplc="96A608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FD79F9"/>
    <w:multiLevelType w:val="hybridMultilevel"/>
    <w:tmpl w:val="4DD40F0A"/>
    <w:lvl w:ilvl="0" w:tplc="21B208A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763EAF"/>
    <w:multiLevelType w:val="hybridMultilevel"/>
    <w:tmpl w:val="E7123AB2"/>
    <w:lvl w:ilvl="0" w:tplc="21B208A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780879"/>
    <w:multiLevelType w:val="hybridMultilevel"/>
    <w:tmpl w:val="CF14B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12337"/>
    <w:multiLevelType w:val="hybridMultilevel"/>
    <w:tmpl w:val="7CD802FE"/>
    <w:lvl w:ilvl="0" w:tplc="21B208A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2C0DD8"/>
    <w:multiLevelType w:val="hybridMultilevel"/>
    <w:tmpl w:val="928ED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5A7437"/>
    <w:multiLevelType w:val="hybridMultilevel"/>
    <w:tmpl w:val="55DEA4FE"/>
    <w:lvl w:ilvl="0" w:tplc="21B208A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2"/>
  </w:num>
  <w:num w:numId="5">
    <w:abstractNumId w:val="11"/>
  </w:num>
  <w:num w:numId="6">
    <w:abstractNumId w:val="4"/>
  </w:num>
  <w:num w:numId="7">
    <w:abstractNumId w:val="7"/>
  </w:num>
  <w:num w:numId="8">
    <w:abstractNumId w:val="5"/>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6DA"/>
    <w:rsid w:val="00017CD2"/>
    <w:rsid w:val="00266B1B"/>
    <w:rsid w:val="009B2A0D"/>
    <w:rsid w:val="009D461A"/>
    <w:rsid w:val="00C03A38"/>
    <w:rsid w:val="00C266DA"/>
    <w:rsid w:val="00DD796A"/>
    <w:rsid w:val="00FA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6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66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66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66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66D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266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66D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26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6DA"/>
    <w:rPr>
      <w:rFonts w:ascii="Tahoma" w:hAnsi="Tahoma" w:cs="Tahoma"/>
      <w:sz w:val="16"/>
      <w:szCs w:val="16"/>
    </w:rPr>
  </w:style>
  <w:style w:type="character" w:customStyle="1" w:styleId="Heading3Char">
    <w:name w:val="Heading 3 Char"/>
    <w:basedOn w:val="DefaultParagraphFont"/>
    <w:link w:val="Heading3"/>
    <w:uiPriority w:val="9"/>
    <w:rsid w:val="00C266DA"/>
    <w:rPr>
      <w:rFonts w:asciiTheme="majorHAnsi" w:eastAsiaTheme="majorEastAsia" w:hAnsiTheme="majorHAnsi" w:cstheme="majorBidi"/>
      <w:b/>
      <w:bCs/>
      <w:color w:val="4F81BD" w:themeColor="accent1"/>
    </w:rPr>
  </w:style>
  <w:style w:type="table" w:styleId="TableGrid">
    <w:name w:val="Table Grid"/>
    <w:basedOn w:val="TableNormal"/>
    <w:uiPriority w:val="59"/>
    <w:rsid w:val="00DD7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79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6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66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66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66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66D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266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66D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26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6DA"/>
    <w:rPr>
      <w:rFonts w:ascii="Tahoma" w:hAnsi="Tahoma" w:cs="Tahoma"/>
      <w:sz w:val="16"/>
      <w:szCs w:val="16"/>
    </w:rPr>
  </w:style>
  <w:style w:type="character" w:customStyle="1" w:styleId="Heading3Char">
    <w:name w:val="Heading 3 Char"/>
    <w:basedOn w:val="DefaultParagraphFont"/>
    <w:link w:val="Heading3"/>
    <w:uiPriority w:val="9"/>
    <w:rsid w:val="00C266DA"/>
    <w:rPr>
      <w:rFonts w:asciiTheme="majorHAnsi" w:eastAsiaTheme="majorEastAsia" w:hAnsiTheme="majorHAnsi" w:cstheme="majorBidi"/>
      <w:b/>
      <w:bCs/>
      <w:color w:val="4F81BD" w:themeColor="accent1"/>
    </w:rPr>
  </w:style>
  <w:style w:type="table" w:styleId="TableGrid">
    <w:name w:val="Table Grid"/>
    <w:basedOn w:val="TableNormal"/>
    <w:uiPriority w:val="59"/>
    <w:rsid w:val="00DD7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79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17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2018-04-03T15:38:00Z</dcterms:created>
  <dcterms:modified xsi:type="dcterms:W3CDTF">2018-04-03T18:20:00Z</dcterms:modified>
</cp:coreProperties>
</file>