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4" w:rsidRPr="000270A6" w:rsidRDefault="006D2164">
      <w:pPr>
        <w:rPr>
          <w:rFonts w:asciiTheme="minorHAnsi" w:hAnsiTheme="minorHAnsi"/>
        </w:r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98"/>
        <w:gridCol w:w="3510"/>
        <w:gridCol w:w="1800"/>
        <w:gridCol w:w="4050"/>
      </w:tblGrid>
      <w:tr w:rsidR="006D2164" w:rsidRPr="000270A6" w:rsidTr="00854508">
        <w:trPr>
          <w:cantSplit/>
          <w:trHeight w:val="336"/>
        </w:trPr>
        <w:tc>
          <w:tcPr>
            <w:tcW w:w="11358" w:type="dxa"/>
            <w:gridSpan w:val="4"/>
          </w:tcPr>
          <w:p w:rsidR="006D2164" w:rsidRPr="000270A6" w:rsidRDefault="006D2164" w:rsidP="00084848">
            <w:pPr>
              <w:pStyle w:val="BodyText"/>
              <w:ind w:left="-108"/>
              <w:rPr>
                <w:rFonts w:asciiTheme="minorHAnsi" w:hAnsiTheme="minorHAnsi" w:cs="Arial"/>
                <w:sz w:val="28"/>
                <w:szCs w:val="28"/>
              </w:rPr>
            </w:pPr>
            <w:r w:rsidRPr="000270A6">
              <w:rPr>
                <w:rFonts w:asciiTheme="minorHAnsi" w:hAnsiTheme="minorHAnsi" w:cs="Arial"/>
                <w:sz w:val="28"/>
                <w:szCs w:val="28"/>
              </w:rPr>
              <w:t>Meeting Minutes</w:t>
            </w:r>
          </w:p>
        </w:tc>
      </w:tr>
      <w:tr w:rsidR="00BB163A" w:rsidRPr="000270A6" w:rsidTr="008F7277">
        <w:trPr>
          <w:cantSplit/>
        </w:trPr>
        <w:tc>
          <w:tcPr>
            <w:tcW w:w="1998" w:type="dxa"/>
            <w:tcBorders>
              <w:bottom w:val="single" w:sz="6" w:space="0" w:color="auto"/>
              <w:right w:val="single" w:sz="4" w:space="0" w:color="auto"/>
            </w:tcBorders>
            <w:shd w:val="clear" w:color="auto" w:fill="CCCCCC"/>
          </w:tcPr>
          <w:p w:rsidR="00BB163A" w:rsidRPr="000270A6" w:rsidRDefault="00BB163A" w:rsidP="008F7277">
            <w:pPr>
              <w:rPr>
                <w:rFonts w:asciiTheme="minorHAnsi" w:hAnsiTheme="minorHAnsi" w:cs="Arial"/>
                <w:b/>
                <w:bCs/>
                <w:sz w:val="24"/>
                <w:szCs w:val="24"/>
              </w:rPr>
            </w:pPr>
            <w:r w:rsidRPr="000270A6">
              <w:rPr>
                <w:rFonts w:asciiTheme="minorHAnsi" w:hAnsiTheme="minorHAnsi" w:cs="Arial"/>
                <w:b/>
                <w:bCs/>
                <w:sz w:val="24"/>
                <w:szCs w:val="24"/>
              </w:rPr>
              <w:t>Meeting Location</w:t>
            </w:r>
          </w:p>
        </w:tc>
        <w:tc>
          <w:tcPr>
            <w:tcW w:w="3510" w:type="dxa"/>
            <w:tcBorders>
              <w:left w:val="single" w:sz="4" w:space="0" w:color="auto"/>
              <w:bottom w:val="single" w:sz="6" w:space="0" w:color="auto"/>
              <w:right w:val="single" w:sz="4" w:space="0" w:color="auto"/>
            </w:tcBorders>
          </w:tcPr>
          <w:p w:rsidR="000270A6" w:rsidRPr="000270A6" w:rsidRDefault="000270A6" w:rsidP="000270A6">
            <w:pPr>
              <w:rPr>
                <w:rFonts w:asciiTheme="minorHAnsi" w:hAnsiTheme="minorHAnsi"/>
                <w:color w:val="000000" w:themeColor="text1"/>
                <w:sz w:val="20"/>
              </w:rPr>
            </w:pPr>
            <w:r w:rsidRPr="000270A6">
              <w:rPr>
                <w:rFonts w:asciiTheme="minorHAnsi" w:hAnsiTheme="minorHAnsi"/>
                <w:color w:val="000000" w:themeColor="text1"/>
                <w:sz w:val="20"/>
              </w:rPr>
              <w:t xml:space="preserve">Conf. call, US Toll free: +1 (877) 716-6484 </w:t>
            </w:r>
          </w:p>
          <w:p w:rsidR="000270A6" w:rsidRPr="000270A6" w:rsidRDefault="000270A6" w:rsidP="000270A6">
            <w:pPr>
              <w:pStyle w:val="PlainText"/>
              <w:rPr>
                <w:rFonts w:asciiTheme="minorHAnsi" w:hAnsiTheme="minorHAnsi"/>
                <w:color w:val="000000" w:themeColor="text1"/>
                <w:sz w:val="20"/>
                <w:szCs w:val="20"/>
              </w:rPr>
            </w:pPr>
            <w:r w:rsidRPr="000270A6">
              <w:rPr>
                <w:rFonts w:asciiTheme="minorHAnsi" w:hAnsiTheme="minorHAnsi"/>
                <w:color w:val="000000" w:themeColor="text1"/>
                <w:sz w:val="20"/>
                <w:szCs w:val="20"/>
              </w:rPr>
              <w:t>International Dial-In Number: (678) 224-7890</w:t>
            </w:r>
          </w:p>
          <w:p w:rsidR="000270A6" w:rsidRPr="000270A6" w:rsidRDefault="000270A6" w:rsidP="000270A6">
            <w:pPr>
              <w:rPr>
                <w:rFonts w:asciiTheme="minorHAnsi" w:hAnsiTheme="minorHAnsi"/>
                <w:color w:val="000000" w:themeColor="text1"/>
                <w:sz w:val="20"/>
              </w:rPr>
            </w:pPr>
            <w:r w:rsidRPr="000270A6">
              <w:rPr>
                <w:rFonts w:asciiTheme="minorHAnsi" w:hAnsiTheme="minorHAnsi"/>
                <w:color w:val="000000" w:themeColor="text1"/>
                <w:sz w:val="20"/>
              </w:rPr>
              <w:t>Participant code: 789 532 4656</w:t>
            </w:r>
          </w:p>
          <w:p w:rsidR="00BB163A" w:rsidRPr="000270A6" w:rsidRDefault="00BB163A" w:rsidP="00BB163A">
            <w:pPr>
              <w:rPr>
                <w:rFonts w:asciiTheme="minorHAnsi" w:hAnsiTheme="minorHAnsi" w:cs="Arial"/>
                <w:b/>
                <w:bCs/>
                <w:sz w:val="24"/>
                <w:szCs w:val="24"/>
              </w:rPr>
            </w:pPr>
          </w:p>
        </w:tc>
        <w:tc>
          <w:tcPr>
            <w:tcW w:w="1800" w:type="dxa"/>
            <w:tcBorders>
              <w:left w:val="single" w:sz="4" w:space="0" w:color="auto"/>
              <w:bottom w:val="single" w:sz="6" w:space="0" w:color="auto"/>
              <w:right w:val="single" w:sz="4" w:space="0" w:color="auto"/>
            </w:tcBorders>
            <w:shd w:val="clear" w:color="auto" w:fill="CCCCCC"/>
          </w:tcPr>
          <w:p w:rsidR="00BB163A" w:rsidRPr="000270A6" w:rsidRDefault="00CD1EEB" w:rsidP="008F7277">
            <w:pPr>
              <w:rPr>
                <w:rFonts w:asciiTheme="minorHAnsi" w:hAnsiTheme="minorHAnsi" w:cs="Arial"/>
                <w:b/>
                <w:sz w:val="24"/>
                <w:szCs w:val="24"/>
              </w:rPr>
            </w:pPr>
            <w:r w:rsidRPr="000270A6">
              <w:rPr>
                <w:rFonts w:asciiTheme="minorHAnsi" w:hAnsiTheme="minorHAnsi" w:cs="Arial"/>
                <w:b/>
                <w:bCs/>
                <w:sz w:val="24"/>
                <w:szCs w:val="24"/>
              </w:rPr>
              <w:t>Meeting Leads</w:t>
            </w:r>
          </w:p>
        </w:tc>
        <w:tc>
          <w:tcPr>
            <w:tcW w:w="4050" w:type="dxa"/>
            <w:tcBorders>
              <w:left w:val="single" w:sz="4" w:space="0" w:color="auto"/>
              <w:bottom w:val="single" w:sz="6" w:space="0" w:color="auto"/>
            </w:tcBorders>
            <w:shd w:val="clear" w:color="auto" w:fill="auto"/>
          </w:tcPr>
          <w:p w:rsidR="000270A6" w:rsidRPr="000270A6" w:rsidRDefault="003C4048" w:rsidP="00BB163A">
            <w:pPr>
              <w:rPr>
                <w:rFonts w:asciiTheme="minorHAnsi" w:hAnsiTheme="minorHAnsi" w:cs="Arial"/>
                <w:sz w:val="20"/>
              </w:rPr>
            </w:pPr>
            <w:r>
              <w:rPr>
                <w:rFonts w:asciiTheme="minorHAnsi" w:hAnsiTheme="minorHAnsi" w:cs="Arial"/>
                <w:sz w:val="20"/>
              </w:rPr>
              <w:t xml:space="preserve">Dr. </w:t>
            </w:r>
            <w:r w:rsidR="00CD1EEB" w:rsidRPr="000270A6">
              <w:rPr>
                <w:rFonts w:asciiTheme="minorHAnsi" w:hAnsiTheme="minorHAnsi" w:cs="Arial"/>
                <w:sz w:val="20"/>
              </w:rPr>
              <w:t xml:space="preserve">Harsh </w:t>
            </w:r>
            <w:r>
              <w:rPr>
                <w:rFonts w:asciiTheme="minorHAnsi" w:hAnsiTheme="minorHAnsi" w:cs="Arial"/>
                <w:sz w:val="20"/>
              </w:rPr>
              <w:t xml:space="preserve">W. </w:t>
            </w:r>
            <w:r w:rsidR="00CD1EEB" w:rsidRPr="000270A6">
              <w:rPr>
                <w:rFonts w:asciiTheme="minorHAnsi" w:hAnsiTheme="minorHAnsi" w:cs="Arial"/>
                <w:sz w:val="20"/>
              </w:rPr>
              <w:t xml:space="preserve">Sharma, Citi, </w:t>
            </w:r>
          </w:p>
          <w:p w:rsidR="003C4048" w:rsidRDefault="00CD1EEB" w:rsidP="00BB163A">
            <w:pPr>
              <w:rPr>
                <w:rFonts w:asciiTheme="minorHAnsi" w:hAnsiTheme="minorHAnsi" w:cs="Arial"/>
                <w:sz w:val="20"/>
              </w:rPr>
            </w:pPr>
            <w:r w:rsidRPr="000270A6">
              <w:rPr>
                <w:rFonts w:asciiTheme="minorHAnsi" w:hAnsiTheme="minorHAnsi" w:cs="Arial"/>
                <w:sz w:val="20"/>
              </w:rPr>
              <w:t xml:space="preserve">Michael Atkin, </w:t>
            </w:r>
            <w:r w:rsidR="003C4048" w:rsidRPr="000270A6">
              <w:rPr>
                <w:rFonts w:asciiTheme="minorHAnsi" w:hAnsiTheme="minorHAnsi" w:cs="Arial"/>
                <w:sz w:val="20"/>
              </w:rPr>
              <w:t>EDM Council</w:t>
            </w:r>
          </w:p>
          <w:p w:rsidR="00BB163A" w:rsidRPr="000270A6" w:rsidRDefault="00CD1EEB" w:rsidP="003C4048">
            <w:pPr>
              <w:rPr>
                <w:rFonts w:asciiTheme="minorHAnsi" w:hAnsiTheme="minorHAnsi" w:cs="Arial"/>
                <w:b/>
                <w:sz w:val="24"/>
                <w:szCs w:val="24"/>
              </w:rPr>
            </w:pPr>
            <w:r w:rsidRPr="000270A6">
              <w:rPr>
                <w:rFonts w:asciiTheme="minorHAnsi" w:hAnsiTheme="minorHAnsi" w:cs="Arial"/>
                <w:sz w:val="20"/>
              </w:rPr>
              <w:t xml:space="preserve">Michael Bennett, </w:t>
            </w:r>
            <w:r w:rsidR="003C4048" w:rsidRPr="000270A6">
              <w:rPr>
                <w:rFonts w:asciiTheme="minorHAnsi" w:hAnsiTheme="minorHAnsi" w:cs="Arial"/>
                <w:sz w:val="20"/>
              </w:rPr>
              <w:t>EDM Council</w:t>
            </w:r>
          </w:p>
        </w:tc>
      </w:tr>
    </w:tbl>
    <w:p w:rsidR="00084848" w:rsidRPr="000270A6" w:rsidRDefault="00084848">
      <w:pPr>
        <w:rPr>
          <w:rFonts w:asciiTheme="minorHAnsi" w:hAnsiTheme="minorHAnsi"/>
        </w:rPr>
      </w:pPr>
    </w:p>
    <w:tbl>
      <w:tblPr>
        <w:tblW w:w="7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158"/>
        <w:gridCol w:w="3150"/>
      </w:tblGrid>
      <w:tr w:rsidR="00CD1EEB" w:rsidRPr="003C4048" w:rsidTr="000270A6">
        <w:tc>
          <w:tcPr>
            <w:tcW w:w="7308" w:type="dxa"/>
            <w:gridSpan w:val="2"/>
          </w:tcPr>
          <w:p w:rsidR="00CD1EEB" w:rsidRPr="003C4048" w:rsidRDefault="00CD1EEB">
            <w:pPr>
              <w:rPr>
                <w:rFonts w:asciiTheme="minorHAnsi" w:hAnsiTheme="minorHAnsi" w:cs="Arial"/>
                <w:color w:val="000000" w:themeColor="text1"/>
                <w:sz w:val="24"/>
                <w:szCs w:val="24"/>
              </w:rPr>
            </w:pPr>
            <w:r w:rsidRPr="003C4048">
              <w:rPr>
                <w:rFonts w:asciiTheme="minorHAnsi" w:hAnsiTheme="minorHAnsi" w:cs="Arial"/>
                <w:b/>
                <w:color w:val="000000" w:themeColor="text1"/>
                <w:sz w:val="24"/>
                <w:szCs w:val="24"/>
              </w:rPr>
              <w:t>Attendees</w:t>
            </w:r>
            <w:r w:rsidR="003C4048" w:rsidRPr="003C4048">
              <w:rPr>
                <w:rFonts w:asciiTheme="minorHAnsi" w:hAnsiTheme="minorHAnsi" w:cs="Arial"/>
                <w:b/>
                <w:color w:val="000000" w:themeColor="text1"/>
                <w:sz w:val="24"/>
                <w:szCs w:val="24"/>
              </w:rPr>
              <w:t xml:space="preserve"> </w:t>
            </w:r>
            <w:r w:rsidR="003C4048" w:rsidRPr="003C4048">
              <w:rPr>
                <w:rFonts w:asciiTheme="minorHAnsi" w:hAnsiTheme="minorHAnsi" w:cs="Arial"/>
                <w:color w:val="C00000"/>
                <w:sz w:val="20"/>
              </w:rPr>
              <w:t>Please add if I missed anyone</w:t>
            </w:r>
          </w:p>
        </w:tc>
      </w:tr>
      <w:tr w:rsidR="00CD1EEB" w:rsidRPr="003C4048" w:rsidTr="000270A6">
        <w:tc>
          <w:tcPr>
            <w:tcW w:w="4158" w:type="dxa"/>
          </w:tcPr>
          <w:p w:rsidR="00CD1EEB" w:rsidRPr="003C4048" w:rsidRDefault="00CD1EEB" w:rsidP="000270A6">
            <w:pPr>
              <w:jc w:val="center"/>
              <w:rPr>
                <w:rFonts w:asciiTheme="minorHAnsi" w:hAnsiTheme="minorHAnsi" w:cs="Arial"/>
                <w:b/>
                <w:color w:val="000000" w:themeColor="text1"/>
                <w:sz w:val="24"/>
                <w:szCs w:val="24"/>
              </w:rPr>
            </w:pPr>
            <w:r w:rsidRPr="003C4048">
              <w:rPr>
                <w:rFonts w:asciiTheme="minorHAnsi" w:hAnsiTheme="minorHAnsi" w:cs="Arial"/>
                <w:b/>
                <w:color w:val="000000" w:themeColor="text1"/>
                <w:sz w:val="24"/>
                <w:szCs w:val="24"/>
              </w:rPr>
              <w:t>Name</w:t>
            </w:r>
          </w:p>
        </w:tc>
        <w:tc>
          <w:tcPr>
            <w:tcW w:w="3150" w:type="dxa"/>
          </w:tcPr>
          <w:p w:rsidR="00CD1EEB" w:rsidRPr="003C4048" w:rsidRDefault="00CD1EEB" w:rsidP="000270A6">
            <w:pPr>
              <w:jc w:val="center"/>
              <w:rPr>
                <w:rFonts w:asciiTheme="minorHAnsi" w:hAnsiTheme="minorHAnsi" w:cs="Arial"/>
                <w:b/>
                <w:color w:val="000000" w:themeColor="text1"/>
                <w:sz w:val="24"/>
                <w:szCs w:val="24"/>
              </w:rPr>
            </w:pPr>
            <w:r w:rsidRPr="003C4048">
              <w:rPr>
                <w:rFonts w:asciiTheme="minorHAnsi" w:hAnsiTheme="minorHAnsi" w:cs="Arial"/>
                <w:b/>
                <w:color w:val="000000" w:themeColor="text1"/>
                <w:sz w:val="24"/>
                <w:szCs w:val="24"/>
              </w:rPr>
              <w:t>Company</w:t>
            </w:r>
          </w:p>
        </w:tc>
      </w:tr>
      <w:tr w:rsidR="00CD1EEB" w:rsidRPr="003C4048" w:rsidTr="000270A6">
        <w:tc>
          <w:tcPr>
            <w:tcW w:w="4158" w:type="dxa"/>
          </w:tcPr>
          <w:p w:rsidR="00CD1EEB" w:rsidRPr="003C4048" w:rsidRDefault="00CE7440">
            <w:pPr>
              <w:rPr>
                <w:rFonts w:asciiTheme="minorHAnsi" w:hAnsiTheme="minorHAnsi" w:cs="Arial"/>
                <w:color w:val="000000" w:themeColor="text1"/>
                <w:sz w:val="20"/>
              </w:rPr>
            </w:pPr>
            <w:r w:rsidRPr="003C4048">
              <w:rPr>
                <w:rFonts w:asciiTheme="minorHAnsi" w:hAnsiTheme="minorHAnsi" w:cs="Arial"/>
                <w:color w:val="000000" w:themeColor="text1"/>
                <w:sz w:val="20"/>
              </w:rPr>
              <w:t>Ashley Weber</w:t>
            </w:r>
          </w:p>
        </w:tc>
        <w:tc>
          <w:tcPr>
            <w:tcW w:w="3150" w:type="dxa"/>
          </w:tcPr>
          <w:p w:rsidR="00CD1EEB" w:rsidRPr="003C4048" w:rsidRDefault="00CE7440">
            <w:pPr>
              <w:rPr>
                <w:rFonts w:asciiTheme="minorHAnsi" w:hAnsiTheme="minorHAnsi" w:cs="Arial"/>
                <w:color w:val="000000" w:themeColor="text1"/>
                <w:sz w:val="20"/>
              </w:rPr>
            </w:pPr>
            <w:r w:rsidRPr="003C4048">
              <w:rPr>
                <w:rFonts w:asciiTheme="minorHAnsi" w:hAnsiTheme="minorHAnsi" w:cs="Arial"/>
                <w:color w:val="000000" w:themeColor="text1"/>
                <w:sz w:val="20"/>
              </w:rPr>
              <w:t>The Northern Trust</w:t>
            </w:r>
          </w:p>
        </w:tc>
      </w:tr>
      <w:tr w:rsidR="00CD1EEB" w:rsidRPr="003C4048" w:rsidTr="000270A6">
        <w:tc>
          <w:tcPr>
            <w:tcW w:w="4158" w:type="dxa"/>
          </w:tcPr>
          <w:p w:rsidR="00CD1EEB" w:rsidRPr="003C4048" w:rsidRDefault="001C59DE">
            <w:pPr>
              <w:rPr>
                <w:rFonts w:asciiTheme="minorHAnsi" w:hAnsiTheme="minorHAnsi" w:cs="Arial"/>
                <w:color w:val="000000" w:themeColor="text1"/>
                <w:sz w:val="20"/>
              </w:rPr>
            </w:pPr>
            <w:r w:rsidRPr="003C4048">
              <w:rPr>
                <w:rFonts w:asciiTheme="minorHAnsi" w:hAnsiTheme="minorHAnsi" w:cs="Arial"/>
                <w:color w:val="000000" w:themeColor="text1"/>
                <w:sz w:val="20"/>
              </w:rPr>
              <w:t>Carole Mahoney</w:t>
            </w:r>
          </w:p>
        </w:tc>
        <w:tc>
          <w:tcPr>
            <w:tcW w:w="3150" w:type="dxa"/>
          </w:tcPr>
          <w:p w:rsidR="00CD1EEB" w:rsidRPr="003C4048" w:rsidRDefault="001C59DE">
            <w:pPr>
              <w:rPr>
                <w:rFonts w:asciiTheme="minorHAnsi" w:hAnsiTheme="minorHAnsi" w:cs="Arial"/>
                <w:color w:val="000000" w:themeColor="text1"/>
                <w:sz w:val="20"/>
              </w:rPr>
            </w:pPr>
            <w:r w:rsidRPr="003C4048">
              <w:rPr>
                <w:rFonts w:asciiTheme="minorHAnsi" w:hAnsiTheme="minorHAnsi" w:cs="Arial"/>
                <w:color w:val="000000" w:themeColor="text1"/>
                <w:sz w:val="20"/>
              </w:rPr>
              <w:t>EDM Council</w:t>
            </w:r>
          </w:p>
        </w:tc>
      </w:tr>
      <w:tr w:rsidR="00CD1EEB" w:rsidRPr="003C4048" w:rsidTr="000270A6">
        <w:tc>
          <w:tcPr>
            <w:tcW w:w="4158" w:type="dxa"/>
          </w:tcPr>
          <w:p w:rsidR="00CD1EEB" w:rsidRPr="003C4048" w:rsidRDefault="001C59DE">
            <w:pPr>
              <w:rPr>
                <w:rFonts w:asciiTheme="minorHAnsi" w:hAnsiTheme="minorHAnsi" w:cs="Arial"/>
                <w:color w:val="000000" w:themeColor="text1"/>
                <w:sz w:val="20"/>
              </w:rPr>
            </w:pPr>
            <w:r w:rsidRPr="003C4048">
              <w:rPr>
                <w:rFonts w:asciiTheme="minorHAnsi" w:hAnsiTheme="minorHAnsi" w:cs="Arial"/>
                <w:color w:val="000000" w:themeColor="text1"/>
                <w:sz w:val="20"/>
              </w:rPr>
              <w:t>Cory Casanave</w:t>
            </w:r>
          </w:p>
        </w:tc>
        <w:tc>
          <w:tcPr>
            <w:tcW w:w="3150" w:type="dxa"/>
          </w:tcPr>
          <w:p w:rsidR="00CD1EEB" w:rsidRPr="003C4048" w:rsidRDefault="001C59DE">
            <w:pPr>
              <w:rPr>
                <w:rFonts w:asciiTheme="minorHAnsi" w:hAnsiTheme="minorHAnsi" w:cs="Arial"/>
                <w:color w:val="000000" w:themeColor="text1"/>
                <w:sz w:val="20"/>
              </w:rPr>
            </w:pPr>
            <w:r w:rsidRPr="003C4048">
              <w:rPr>
                <w:rFonts w:asciiTheme="minorHAnsi" w:hAnsiTheme="minorHAnsi" w:cs="Arial"/>
                <w:color w:val="000000" w:themeColor="text1"/>
                <w:sz w:val="20"/>
              </w:rPr>
              <w:t>Model Driven Solutions</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Dale Robichaud</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OTPP</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David Frankel</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SAP</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Donald Chapin</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Business Semantics Ltd</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Ellen Hauptman</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RBS</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Francis Parr</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IBM</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Ian Maung</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Citi</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Jane Shi</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Wells Fargo</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James Odell</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CSC</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John Gemski</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GoldenSource Corp</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John Yelle</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DTCC</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ken Lord</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Firstar software</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Kevin Tyson</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JP Morgan Chase &amp; Co</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Kieran McKeown</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HSBC</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Lee Kenyon</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Eaton Vance Management</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Max Gillmore</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National Australia Bank</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Melanie Mecca</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Booz Allen Hamilton</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Nancy Kalthoff</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Teradata</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Nicholas Clarke</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Deloitte</w:t>
            </w:r>
          </w:p>
        </w:tc>
      </w:tr>
      <w:tr w:rsidR="001C59DE" w:rsidRPr="003C4048" w:rsidTr="001C59DE">
        <w:tc>
          <w:tcPr>
            <w:tcW w:w="4158"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Rob Nehmer</w:t>
            </w:r>
          </w:p>
        </w:tc>
        <w:tc>
          <w:tcPr>
            <w:tcW w:w="3150" w:type="dxa"/>
          </w:tcPr>
          <w:p w:rsidR="001C59DE" w:rsidRPr="003C4048" w:rsidRDefault="001C59DE"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Oakland University</w:t>
            </w:r>
          </w:p>
        </w:tc>
      </w:tr>
      <w:tr w:rsidR="001C59DE" w:rsidRPr="003C4048" w:rsidTr="001C59DE">
        <w:tc>
          <w:tcPr>
            <w:tcW w:w="4158" w:type="dxa"/>
          </w:tcPr>
          <w:p w:rsidR="001C59DE" w:rsidRPr="003C4048" w:rsidRDefault="003C4048" w:rsidP="001C59DE">
            <w:pPr>
              <w:rPr>
                <w:rFonts w:asciiTheme="minorHAnsi" w:hAnsiTheme="minorHAnsi"/>
                <w:color w:val="000000" w:themeColor="text1"/>
                <w:sz w:val="20"/>
              </w:rPr>
            </w:pPr>
            <w:r w:rsidRPr="003C4048">
              <w:rPr>
                <w:rFonts w:asciiTheme="minorHAnsi" w:hAnsiTheme="minorHAnsi"/>
                <w:color w:val="000000" w:themeColor="text1"/>
                <w:sz w:val="20"/>
              </w:rPr>
              <w:t>Michael Donnelly</w:t>
            </w:r>
          </w:p>
        </w:tc>
        <w:tc>
          <w:tcPr>
            <w:tcW w:w="3150" w:type="dxa"/>
          </w:tcPr>
          <w:p w:rsidR="001C59DE" w:rsidRPr="003C4048" w:rsidRDefault="00854508"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O</w:t>
            </w:r>
            <w:r w:rsidR="003C4048">
              <w:rPr>
                <w:rFonts w:asciiTheme="minorHAnsi" w:hAnsiTheme="minorHAnsi" w:cs="Arial"/>
                <w:color w:val="000000" w:themeColor="text1"/>
                <w:sz w:val="20"/>
              </w:rPr>
              <w:t>ffice of Financial Research</w:t>
            </w:r>
          </w:p>
        </w:tc>
      </w:tr>
      <w:tr w:rsidR="00854508" w:rsidRPr="003C4048" w:rsidTr="001C59DE">
        <w:tc>
          <w:tcPr>
            <w:tcW w:w="4158" w:type="dxa"/>
          </w:tcPr>
          <w:p w:rsidR="00854508" w:rsidRPr="003C4048" w:rsidRDefault="00504891"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Charles Taylor</w:t>
            </w:r>
          </w:p>
        </w:tc>
        <w:tc>
          <w:tcPr>
            <w:tcW w:w="3150" w:type="dxa"/>
          </w:tcPr>
          <w:p w:rsidR="00854508" w:rsidRPr="003C4048" w:rsidRDefault="00504891"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PEW Trusts</w:t>
            </w:r>
          </w:p>
        </w:tc>
      </w:tr>
      <w:tr w:rsidR="001C59DE" w:rsidRPr="003C4048" w:rsidTr="001C59DE">
        <w:tc>
          <w:tcPr>
            <w:tcW w:w="4158" w:type="dxa"/>
          </w:tcPr>
          <w:p w:rsidR="001C59DE" w:rsidRPr="003C4048" w:rsidRDefault="003C4048" w:rsidP="001C59DE">
            <w:pPr>
              <w:rPr>
                <w:rFonts w:asciiTheme="minorHAnsi" w:hAnsiTheme="minorHAnsi" w:cs="Arial"/>
                <w:color w:val="000000" w:themeColor="text1"/>
                <w:sz w:val="20"/>
              </w:rPr>
            </w:pPr>
            <w:proofErr w:type="spellStart"/>
            <w:r w:rsidRPr="003C4048">
              <w:rPr>
                <w:rFonts w:asciiTheme="minorHAnsi" w:hAnsiTheme="minorHAnsi" w:cs="Arial"/>
                <w:color w:val="000000" w:themeColor="text1"/>
                <w:sz w:val="20"/>
              </w:rPr>
              <w:t>Brian.Osterhus</w:t>
            </w:r>
            <w:proofErr w:type="spellEnd"/>
          </w:p>
        </w:tc>
        <w:tc>
          <w:tcPr>
            <w:tcW w:w="3150" w:type="dxa"/>
          </w:tcPr>
          <w:p w:rsidR="001C59DE" w:rsidRPr="003C4048" w:rsidRDefault="003C4048"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Federal Reserve Board, NY</w:t>
            </w:r>
          </w:p>
        </w:tc>
      </w:tr>
      <w:tr w:rsidR="00854508" w:rsidRPr="003C4048" w:rsidTr="001C59DE">
        <w:tc>
          <w:tcPr>
            <w:tcW w:w="4158" w:type="dxa"/>
          </w:tcPr>
          <w:p w:rsidR="00854508" w:rsidRPr="003C4048" w:rsidRDefault="003C4048"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Andrew Watson</w:t>
            </w:r>
          </w:p>
        </w:tc>
        <w:tc>
          <w:tcPr>
            <w:tcW w:w="3150" w:type="dxa"/>
          </w:tcPr>
          <w:p w:rsidR="00854508" w:rsidRPr="003C4048" w:rsidRDefault="003C4048" w:rsidP="001C59DE">
            <w:pPr>
              <w:rPr>
                <w:rFonts w:asciiTheme="minorHAnsi" w:hAnsiTheme="minorHAnsi" w:cs="Arial"/>
                <w:color w:val="000000" w:themeColor="text1"/>
                <w:sz w:val="20"/>
              </w:rPr>
            </w:pPr>
            <w:r w:rsidRPr="003C4048">
              <w:rPr>
                <w:rFonts w:asciiTheme="minorHAnsi" w:hAnsiTheme="minorHAnsi" w:cs="Arial"/>
                <w:color w:val="000000" w:themeColor="text1"/>
                <w:sz w:val="20"/>
              </w:rPr>
              <w:t>OMG</w:t>
            </w:r>
          </w:p>
        </w:tc>
      </w:tr>
    </w:tbl>
    <w:p w:rsidR="003D7CAD" w:rsidRDefault="003D7CAD">
      <w:pPr>
        <w:rPr>
          <w:rFonts w:asciiTheme="minorHAnsi" w:hAnsiTheme="minorHAnsi"/>
        </w:rPr>
      </w:pPr>
    </w:p>
    <w:p w:rsidR="00854508" w:rsidRDefault="00854508">
      <w:pPr>
        <w:rPr>
          <w:rFonts w:asciiTheme="minorHAnsi" w:hAnsiTheme="minorHAnsi"/>
        </w:rPr>
      </w:pPr>
    </w:p>
    <w:p w:rsidR="00854508" w:rsidRDefault="00854508">
      <w:pPr>
        <w:rPr>
          <w:rFonts w:asciiTheme="minorHAnsi" w:hAnsiTheme="minorHAnsi"/>
        </w:rPr>
      </w:pPr>
    </w:p>
    <w:p w:rsidR="00854508" w:rsidRDefault="00854508">
      <w:pPr>
        <w:rPr>
          <w:rFonts w:asciiTheme="minorHAnsi" w:hAnsiTheme="minorHAnsi"/>
        </w:rPr>
      </w:pPr>
    </w:p>
    <w:p w:rsidR="00F54881" w:rsidRDefault="00F54881">
      <w:pPr>
        <w:rPr>
          <w:rFonts w:asciiTheme="minorHAnsi" w:hAnsiTheme="minorHAnsi"/>
        </w:rPr>
      </w:pPr>
    </w:p>
    <w:p w:rsidR="00F54881" w:rsidRDefault="00F54881">
      <w:pPr>
        <w:rPr>
          <w:rFonts w:asciiTheme="minorHAnsi" w:hAnsiTheme="minorHAnsi"/>
        </w:rPr>
      </w:pPr>
    </w:p>
    <w:p w:rsidR="00F54881" w:rsidRDefault="00F54881">
      <w:pPr>
        <w:rPr>
          <w:rFonts w:asciiTheme="minorHAnsi" w:hAnsiTheme="minorHAnsi"/>
        </w:rPr>
      </w:pPr>
    </w:p>
    <w:p w:rsidR="00F54881" w:rsidRDefault="00F54881">
      <w:pPr>
        <w:rPr>
          <w:rFonts w:asciiTheme="minorHAnsi" w:hAnsiTheme="minorHAnsi"/>
        </w:rPr>
      </w:pPr>
    </w:p>
    <w:p w:rsidR="00854508" w:rsidRDefault="00854508">
      <w:pPr>
        <w:rPr>
          <w:rFonts w:asciiTheme="minorHAnsi" w:hAnsiTheme="minorHAnsi"/>
        </w:rPr>
      </w:pPr>
    </w:p>
    <w:p w:rsidR="00854508" w:rsidRDefault="00854508">
      <w:pPr>
        <w:rPr>
          <w:rFonts w:asciiTheme="minorHAnsi" w:hAnsiTheme="minorHAnsi"/>
        </w:r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58"/>
      </w:tblGrid>
      <w:tr w:rsidR="00A80C60" w:rsidRPr="000270A6" w:rsidTr="00EC3A1A">
        <w:trPr>
          <w:trHeight w:val="309"/>
        </w:trPr>
        <w:tc>
          <w:tcPr>
            <w:tcW w:w="11358" w:type="dxa"/>
            <w:shd w:val="clear" w:color="auto" w:fill="D6E3BC" w:themeFill="accent3" w:themeFillTint="66"/>
            <w:vAlign w:val="center"/>
          </w:tcPr>
          <w:p w:rsidR="00A80C60" w:rsidRPr="000270A6" w:rsidRDefault="00CE7440" w:rsidP="0032437D">
            <w:pPr>
              <w:jc w:val="center"/>
              <w:rPr>
                <w:rFonts w:asciiTheme="minorHAnsi" w:hAnsiTheme="minorHAnsi" w:cs="Arial"/>
                <w:b/>
                <w:bCs/>
              </w:rPr>
            </w:pPr>
            <w:r>
              <w:rPr>
                <w:rFonts w:asciiTheme="minorHAnsi" w:hAnsiTheme="minorHAnsi" w:cs="Arial"/>
                <w:b/>
                <w:bCs/>
              </w:rPr>
              <w:t xml:space="preserve">Meeting </w:t>
            </w:r>
            <w:r w:rsidR="00DB74F3" w:rsidRPr="000270A6">
              <w:rPr>
                <w:rFonts w:asciiTheme="minorHAnsi" w:hAnsiTheme="minorHAnsi" w:cs="Arial"/>
                <w:b/>
                <w:bCs/>
              </w:rPr>
              <w:t>Topic</w:t>
            </w:r>
            <w:r w:rsidR="001C59DE">
              <w:rPr>
                <w:rFonts w:asciiTheme="minorHAnsi" w:hAnsiTheme="minorHAnsi" w:cs="Arial"/>
                <w:b/>
                <w:bCs/>
              </w:rPr>
              <w:t xml:space="preserve"> &amp; Summary</w:t>
            </w:r>
          </w:p>
        </w:tc>
      </w:tr>
      <w:tr w:rsidR="004F1306" w:rsidRPr="000270A6" w:rsidTr="00AF32FB">
        <w:trPr>
          <w:trHeight w:val="426"/>
        </w:trPr>
        <w:tc>
          <w:tcPr>
            <w:tcW w:w="11358" w:type="dxa"/>
            <w:shd w:val="clear" w:color="auto" w:fill="auto"/>
            <w:vAlign w:val="center"/>
          </w:tcPr>
          <w:p w:rsidR="001C59DE" w:rsidRPr="00347893" w:rsidRDefault="001C59DE" w:rsidP="00AF32FB">
            <w:pPr>
              <w:rPr>
                <w:rFonts w:asciiTheme="minorHAnsi" w:hAnsiTheme="minorHAnsi" w:cs="Arial"/>
                <w:b/>
                <w:bCs/>
                <w:sz w:val="24"/>
                <w:szCs w:val="24"/>
              </w:rPr>
            </w:pPr>
            <w:r w:rsidRPr="00347893">
              <w:rPr>
                <w:rFonts w:asciiTheme="minorHAnsi" w:hAnsiTheme="minorHAnsi" w:cs="Arial"/>
                <w:b/>
                <w:bCs/>
                <w:sz w:val="24"/>
                <w:szCs w:val="24"/>
              </w:rPr>
              <w:t>Meeting topic:</w:t>
            </w:r>
          </w:p>
          <w:p w:rsidR="004F1306" w:rsidRPr="009564F8" w:rsidRDefault="00CD1EEB" w:rsidP="00AF32FB">
            <w:pPr>
              <w:rPr>
                <w:rFonts w:asciiTheme="minorHAnsi" w:hAnsiTheme="minorHAnsi" w:cs="Arial"/>
                <w:bCs/>
                <w:sz w:val="18"/>
                <w:szCs w:val="18"/>
              </w:rPr>
            </w:pPr>
            <w:r w:rsidRPr="003C4048">
              <w:rPr>
                <w:rFonts w:asciiTheme="minorHAnsi" w:hAnsiTheme="minorHAnsi" w:cs="Arial"/>
                <w:bCs/>
                <w:sz w:val="20"/>
              </w:rPr>
              <w:t>EDMC-OMG Joint Standard (Semantic Models for Financial Services)</w:t>
            </w:r>
            <w:r w:rsidR="000270A6" w:rsidRPr="003C4048">
              <w:rPr>
                <w:rFonts w:asciiTheme="minorHAnsi" w:hAnsiTheme="minorHAnsi" w:cs="Arial"/>
                <w:bCs/>
                <w:sz w:val="20"/>
              </w:rPr>
              <w:t xml:space="preserve"> Kick-off and initial review of proposed work streams</w:t>
            </w:r>
            <w:r w:rsidR="009564F8" w:rsidRPr="003C4048">
              <w:rPr>
                <w:rFonts w:asciiTheme="minorHAnsi" w:hAnsiTheme="minorHAnsi" w:cs="Arial"/>
                <w:bCs/>
                <w:sz w:val="20"/>
              </w:rPr>
              <w:t>. Presentation for this call:</w:t>
            </w:r>
            <w:r w:rsidR="009564F8">
              <w:rPr>
                <w:rFonts w:asciiTheme="minorHAnsi" w:hAnsiTheme="minorHAnsi" w:cs="Arial"/>
                <w:bCs/>
                <w:szCs w:val="22"/>
              </w:rPr>
              <w:t xml:space="preserve"> </w:t>
            </w:r>
            <w:hyperlink r:id="rId11" w:history="1">
              <w:r w:rsidR="009564F8" w:rsidRPr="009564F8">
                <w:rPr>
                  <w:rStyle w:val="Hyperlink"/>
                  <w:rFonts w:asciiTheme="minorHAnsi" w:hAnsiTheme="minorHAnsi" w:cs="Arial"/>
                  <w:sz w:val="18"/>
                  <w:szCs w:val="18"/>
                </w:rPr>
                <w:t>http://www.omgwiki.org/OMG-FDTF/lib/exe/fetch.php?media=omg-edmc_standard_call_-_april_13_2011_v3.pptx</w:t>
              </w:r>
            </w:hyperlink>
          </w:p>
          <w:p w:rsidR="001C59DE" w:rsidRPr="00347893" w:rsidRDefault="001C59DE" w:rsidP="00AF32FB">
            <w:pPr>
              <w:rPr>
                <w:rFonts w:asciiTheme="minorHAnsi" w:hAnsiTheme="minorHAnsi" w:cs="Arial"/>
                <w:bCs/>
                <w:sz w:val="24"/>
                <w:szCs w:val="24"/>
              </w:rPr>
            </w:pPr>
            <w:r w:rsidRPr="00347893">
              <w:rPr>
                <w:rFonts w:asciiTheme="minorHAnsi" w:hAnsiTheme="minorHAnsi" w:cs="Arial"/>
                <w:b/>
                <w:bCs/>
                <w:sz w:val="24"/>
                <w:szCs w:val="24"/>
              </w:rPr>
              <w:t>Meeting Summary</w:t>
            </w:r>
            <w:r w:rsidRPr="00347893">
              <w:rPr>
                <w:rFonts w:asciiTheme="minorHAnsi" w:hAnsiTheme="minorHAnsi" w:cs="Arial"/>
                <w:bCs/>
                <w:sz w:val="24"/>
                <w:szCs w:val="24"/>
              </w:rPr>
              <w:t>:</w:t>
            </w:r>
          </w:p>
          <w:p w:rsidR="00854508" w:rsidRPr="00F54881" w:rsidRDefault="00854508" w:rsidP="00854508">
            <w:pPr>
              <w:pStyle w:val="ListParagraph"/>
              <w:numPr>
                <w:ilvl w:val="0"/>
                <w:numId w:val="20"/>
              </w:numPr>
              <w:rPr>
                <w:rFonts w:asciiTheme="minorHAnsi" w:hAnsiTheme="minorHAnsi" w:cs="Arial"/>
                <w:bCs/>
                <w:sz w:val="20"/>
              </w:rPr>
            </w:pPr>
            <w:r w:rsidRPr="00F54881">
              <w:rPr>
                <w:rFonts w:asciiTheme="minorHAnsi" w:hAnsiTheme="minorHAnsi" w:cs="Arial"/>
                <w:bCs/>
                <w:sz w:val="20"/>
              </w:rPr>
              <w:t xml:space="preserve">Harsh Sharma and Mike Atkin kicked off </w:t>
            </w:r>
            <w:r w:rsidR="00347893" w:rsidRPr="00F54881">
              <w:rPr>
                <w:rFonts w:asciiTheme="minorHAnsi" w:hAnsiTheme="minorHAnsi" w:cs="Arial"/>
                <w:bCs/>
                <w:sz w:val="20"/>
              </w:rPr>
              <w:t xml:space="preserve">the call </w:t>
            </w:r>
            <w:r w:rsidRPr="00F54881">
              <w:rPr>
                <w:rFonts w:asciiTheme="minorHAnsi" w:hAnsiTheme="minorHAnsi" w:cs="Arial"/>
                <w:bCs/>
                <w:sz w:val="20"/>
              </w:rPr>
              <w:t>by summarizing the need to develop EDMC Semantic Repository as a joint OMG standard with OMG Governance Process</w:t>
            </w:r>
            <w:r w:rsidR="00347893" w:rsidRPr="00F54881">
              <w:rPr>
                <w:rFonts w:asciiTheme="minorHAnsi" w:hAnsiTheme="minorHAnsi" w:cs="Arial"/>
                <w:bCs/>
                <w:sz w:val="20"/>
              </w:rPr>
              <w:t xml:space="preserve"> to support emerging challenges including financial reform regulations response</w:t>
            </w:r>
          </w:p>
          <w:p w:rsidR="0083496E" w:rsidRPr="00F54881" w:rsidRDefault="0083496E" w:rsidP="00854508">
            <w:pPr>
              <w:pStyle w:val="ListParagraph"/>
              <w:numPr>
                <w:ilvl w:val="0"/>
                <w:numId w:val="20"/>
              </w:numPr>
              <w:rPr>
                <w:rFonts w:asciiTheme="minorHAnsi" w:hAnsiTheme="minorHAnsi" w:cs="Arial"/>
                <w:bCs/>
                <w:sz w:val="20"/>
              </w:rPr>
            </w:pPr>
            <w:r w:rsidRPr="00F54881">
              <w:rPr>
                <w:rFonts w:asciiTheme="minorHAnsi" w:hAnsiTheme="minorHAnsi" w:cs="Arial"/>
                <w:bCs/>
                <w:sz w:val="20"/>
              </w:rPr>
              <w:t>Harsh Sharma summarized the OMG-EDMC meeting in Washington DC as a backdrop to this and future calls</w:t>
            </w:r>
            <w:r w:rsidR="00504891" w:rsidRPr="00F54881">
              <w:rPr>
                <w:rFonts w:asciiTheme="minorHAnsi" w:hAnsiTheme="minorHAnsi" w:cs="Arial"/>
                <w:bCs/>
                <w:sz w:val="20"/>
              </w:rPr>
              <w:t xml:space="preserve"> including the need for an ongoing public-private sector partnership to be successful</w:t>
            </w:r>
          </w:p>
          <w:p w:rsidR="00854508" w:rsidRPr="00F54881" w:rsidRDefault="00854508" w:rsidP="00854508">
            <w:pPr>
              <w:pStyle w:val="ListParagraph"/>
              <w:numPr>
                <w:ilvl w:val="0"/>
                <w:numId w:val="20"/>
              </w:numPr>
              <w:rPr>
                <w:rFonts w:asciiTheme="minorHAnsi" w:hAnsiTheme="minorHAnsi" w:cs="Arial"/>
                <w:bCs/>
                <w:sz w:val="20"/>
              </w:rPr>
            </w:pPr>
            <w:r w:rsidRPr="00F54881">
              <w:rPr>
                <w:rFonts w:asciiTheme="minorHAnsi" w:hAnsiTheme="minorHAnsi" w:cs="Arial"/>
                <w:bCs/>
                <w:sz w:val="20"/>
              </w:rPr>
              <w:t xml:space="preserve">Mike Atkin indicated that: </w:t>
            </w:r>
            <w:r w:rsidRPr="00F54881">
              <w:rPr>
                <w:rFonts w:asciiTheme="minorHAnsi" w:hAnsiTheme="minorHAnsi"/>
                <w:sz w:val="20"/>
              </w:rPr>
              <w:t xml:space="preserve">Congress instructed the SEC and CFTC to conduct a joint feasibility study on the </w:t>
            </w:r>
          </w:p>
          <w:p w:rsidR="00347893" w:rsidRPr="00F54881" w:rsidRDefault="00854508" w:rsidP="00347893">
            <w:pPr>
              <w:ind w:left="360"/>
              <w:rPr>
                <w:rFonts w:asciiTheme="minorHAnsi" w:hAnsiTheme="minorHAnsi"/>
                <w:sz w:val="20"/>
              </w:rPr>
            </w:pPr>
            <w:r w:rsidRPr="00F54881">
              <w:rPr>
                <w:rFonts w:asciiTheme="minorHAnsi" w:hAnsiTheme="minorHAnsi"/>
                <w:sz w:val="20"/>
              </w:rPr>
              <w:t>viability of mandating “algorithmic descriptions for derivatives.”  This was part of D</w:t>
            </w:r>
            <w:r w:rsidR="00347893" w:rsidRPr="00F54881">
              <w:rPr>
                <w:rFonts w:asciiTheme="minorHAnsi" w:hAnsiTheme="minorHAnsi"/>
                <w:sz w:val="20"/>
              </w:rPr>
              <w:t xml:space="preserve">odd </w:t>
            </w:r>
            <w:r w:rsidRPr="00F54881">
              <w:rPr>
                <w:rFonts w:asciiTheme="minorHAnsi" w:hAnsiTheme="minorHAnsi"/>
                <w:sz w:val="20"/>
              </w:rPr>
              <w:t>F</w:t>
            </w:r>
            <w:r w:rsidR="00347893" w:rsidRPr="00F54881">
              <w:rPr>
                <w:rFonts w:asciiTheme="minorHAnsi" w:hAnsiTheme="minorHAnsi"/>
                <w:sz w:val="20"/>
              </w:rPr>
              <w:t xml:space="preserve">rank </w:t>
            </w:r>
            <w:r w:rsidRPr="00F54881">
              <w:rPr>
                <w:rFonts w:asciiTheme="minorHAnsi" w:hAnsiTheme="minorHAnsi"/>
                <w:sz w:val="20"/>
              </w:rPr>
              <w:t>A</w:t>
            </w:r>
            <w:r w:rsidR="00347893" w:rsidRPr="00F54881">
              <w:rPr>
                <w:rFonts w:asciiTheme="minorHAnsi" w:hAnsiTheme="minorHAnsi"/>
                <w:sz w:val="20"/>
              </w:rPr>
              <w:t>ct</w:t>
            </w:r>
            <w:r w:rsidRPr="00F54881">
              <w:rPr>
                <w:rFonts w:asciiTheme="minorHAnsi" w:hAnsiTheme="minorHAnsi"/>
                <w:sz w:val="20"/>
              </w:rPr>
              <w:t xml:space="preserve"> (Title 1, Section 719b)</w:t>
            </w:r>
            <w:r w:rsidR="00347893" w:rsidRPr="00F54881">
              <w:rPr>
                <w:rFonts w:asciiTheme="minorHAnsi" w:hAnsiTheme="minorHAnsi"/>
                <w:sz w:val="20"/>
              </w:rPr>
              <w:t xml:space="preserve">. EDMC provided </w:t>
            </w:r>
            <w:hyperlink r:id="rId12" w:history="1">
              <w:r w:rsidR="00347893" w:rsidRPr="00F54881">
                <w:rPr>
                  <w:rStyle w:val="Hyperlink"/>
                  <w:rFonts w:asciiTheme="minorHAnsi" w:hAnsiTheme="minorHAnsi"/>
                  <w:sz w:val="20"/>
                </w:rPr>
                <w:t>formal comments</w:t>
              </w:r>
            </w:hyperlink>
            <w:r w:rsidR="00347893" w:rsidRPr="00F54881">
              <w:rPr>
                <w:rFonts w:asciiTheme="minorHAnsi" w:hAnsiTheme="minorHAnsi"/>
                <w:sz w:val="20"/>
              </w:rPr>
              <w:t xml:space="preserve"> to support the feasibility investigation and met with the CFTC a number of times to help them get their arms around the issue.  In essence, it says:</w:t>
            </w:r>
          </w:p>
          <w:p w:rsidR="00347893" w:rsidRPr="00F54881" w:rsidRDefault="00347893" w:rsidP="00347893">
            <w:pPr>
              <w:pStyle w:val="ListParagraph"/>
              <w:numPr>
                <w:ilvl w:val="0"/>
                <w:numId w:val="21"/>
              </w:numPr>
              <w:contextualSpacing w:val="0"/>
              <w:rPr>
                <w:rFonts w:asciiTheme="minorHAnsi" w:hAnsiTheme="minorHAnsi"/>
                <w:sz w:val="20"/>
              </w:rPr>
            </w:pPr>
            <w:r w:rsidRPr="00F54881">
              <w:rPr>
                <w:rFonts w:asciiTheme="minorHAnsi" w:hAnsiTheme="minorHAnsi"/>
                <w:sz w:val="20"/>
              </w:rPr>
              <w:t>Using attribute descriptions to define OTC derivatives is feasible and essential for systemic analysis</w:t>
            </w:r>
          </w:p>
          <w:p w:rsidR="00347893" w:rsidRPr="00F54881" w:rsidRDefault="00347893" w:rsidP="00347893">
            <w:pPr>
              <w:pStyle w:val="ListParagraph"/>
              <w:numPr>
                <w:ilvl w:val="0"/>
                <w:numId w:val="21"/>
              </w:numPr>
              <w:contextualSpacing w:val="0"/>
              <w:rPr>
                <w:rFonts w:asciiTheme="minorHAnsi" w:hAnsiTheme="minorHAnsi"/>
                <w:sz w:val="20"/>
              </w:rPr>
            </w:pPr>
            <w:r w:rsidRPr="00F54881">
              <w:rPr>
                <w:rFonts w:asciiTheme="minorHAnsi" w:hAnsiTheme="minorHAnsi"/>
                <w:sz w:val="20"/>
              </w:rPr>
              <w:t xml:space="preserve">The industry is not fully there in terms of having a semantic standard – but there is lots of good work that brings us close </w:t>
            </w:r>
          </w:p>
          <w:p w:rsidR="00347893" w:rsidRPr="00F54881" w:rsidRDefault="00347893" w:rsidP="00347893">
            <w:pPr>
              <w:pStyle w:val="ListParagraph"/>
              <w:numPr>
                <w:ilvl w:val="0"/>
                <w:numId w:val="21"/>
              </w:numPr>
              <w:contextualSpacing w:val="0"/>
              <w:rPr>
                <w:rFonts w:asciiTheme="minorHAnsi" w:hAnsiTheme="minorHAnsi"/>
                <w:sz w:val="20"/>
              </w:rPr>
            </w:pPr>
            <w:r w:rsidRPr="00F54881">
              <w:rPr>
                <w:rFonts w:asciiTheme="minorHAnsi" w:hAnsiTheme="minorHAnsi"/>
                <w:sz w:val="20"/>
              </w:rPr>
              <w:t>The US government should facilitate a public/private partnership to get this standard implemented.  This is a task that is likely to be handed to the OFR.</w:t>
            </w:r>
          </w:p>
          <w:p w:rsidR="00347893" w:rsidRPr="00F54881" w:rsidRDefault="00347893" w:rsidP="00347893">
            <w:pPr>
              <w:pStyle w:val="ListParagraph"/>
              <w:numPr>
                <w:ilvl w:val="0"/>
                <w:numId w:val="21"/>
              </w:numPr>
              <w:contextualSpacing w:val="0"/>
              <w:rPr>
                <w:rFonts w:asciiTheme="minorHAnsi" w:hAnsiTheme="minorHAnsi"/>
                <w:sz w:val="20"/>
              </w:rPr>
            </w:pPr>
            <w:r w:rsidRPr="00F54881">
              <w:rPr>
                <w:rFonts w:asciiTheme="minorHAnsi" w:hAnsiTheme="minorHAnsi"/>
                <w:sz w:val="20"/>
              </w:rPr>
              <w:t>Once the standard is finalized, it should be mandated</w:t>
            </w:r>
          </w:p>
          <w:p w:rsidR="00347893" w:rsidRPr="00F54881" w:rsidRDefault="00347893" w:rsidP="00347893">
            <w:pPr>
              <w:pStyle w:val="ListParagraph"/>
              <w:numPr>
                <w:ilvl w:val="0"/>
                <w:numId w:val="20"/>
              </w:numPr>
              <w:rPr>
                <w:rFonts w:asciiTheme="minorHAnsi" w:hAnsiTheme="minorHAnsi"/>
                <w:sz w:val="20"/>
              </w:rPr>
            </w:pPr>
            <w:r w:rsidRPr="00F54881">
              <w:rPr>
                <w:rFonts w:asciiTheme="minorHAnsi" w:hAnsiTheme="minorHAnsi"/>
                <w:sz w:val="20"/>
              </w:rPr>
              <w:t>Harsh Sharma and Mike Bennett reviewed the slides providing a summary of proposed work streams, deliverables and time lines that will be required to develop the EDMC-OMG joint standard</w:t>
            </w:r>
          </w:p>
          <w:p w:rsidR="00347893" w:rsidRPr="00F54881" w:rsidRDefault="00347893" w:rsidP="00347893">
            <w:pPr>
              <w:pStyle w:val="ListParagraph"/>
              <w:numPr>
                <w:ilvl w:val="0"/>
                <w:numId w:val="20"/>
              </w:numPr>
              <w:rPr>
                <w:rFonts w:asciiTheme="minorHAnsi" w:hAnsiTheme="minorHAnsi"/>
                <w:sz w:val="20"/>
              </w:rPr>
            </w:pPr>
            <w:r w:rsidRPr="00F54881">
              <w:rPr>
                <w:rFonts w:asciiTheme="minorHAnsi" w:hAnsiTheme="minorHAnsi"/>
                <w:sz w:val="20"/>
              </w:rPr>
              <w:t>Meeting leads requested that participants review the proposed work streams and provide feedback and indicate interest in specific work streams on the next call (April 20</w:t>
            </w:r>
            <w:r w:rsidRPr="00F54881">
              <w:rPr>
                <w:rFonts w:asciiTheme="minorHAnsi" w:hAnsiTheme="minorHAnsi"/>
                <w:sz w:val="20"/>
                <w:vertAlign w:val="superscript"/>
              </w:rPr>
              <w:t>th</w:t>
            </w:r>
            <w:r w:rsidRPr="00F54881">
              <w:rPr>
                <w:rFonts w:asciiTheme="minorHAnsi" w:hAnsiTheme="minorHAnsi"/>
                <w:sz w:val="20"/>
              </w:rPr>
              <w:t xml:space="preserve"> 2011)</w:t>
            </w:r>
          </w:p>
          <w:p w:rsidR="0083496E" w:rsidRPr="00F54881" w:rsidRDefault="0083496E" w:rsidP="00347893">
            <w:pPr>
              <w:pStyle w:val="ListParagraph"/>
              <w:numPr>
                <w:ilvl w:val="0"/>
                <w:numId w:val="20"/>
              </w:numPr>
              <w:rPr>
                <w:rFonts w:asciiTheme="minorHAnsi" w:hAnsiTheme="minorHAnsi"/>
                <w:sz w:val="20"/>
              </w:rPr>
            </w:pPr>
            <w:r w:rsidRPr="00F54881">
              <w:rPr>
                <w:rFonts w:asciiTheme="minorHAnsi" w:hAnsiTheme="minorHAnsi"/>
                <w:sz w:val="20"/>
              </w:rPr>
              <w:t>Mike Bennett will provide the scope and specific work streams success criteria on the April 20</w:t>
            </w:r>
            <w:r w:rsidRPr="00F54881">
              <w:rPr>
                <w:rFonts w:asciiTheme="minorHAnsi" w:hAnsiTheme="minorHAnsi"/>
                <w:sz w:val="20"/>
                <w:vertAlign w:val="superscript"/>
              </w:rPr>
              <w:t>th</w:t>
            </w:r>
            <w:r w:rsidRPr="00F54881">
              <w:rPr>
                <w:rFonts w:asciiTheme="minorHAnsi" w:hAnsiTheme="minorHAnsi"/>
                <w:sz w:val="20"/>
              </w:rPr>
              <w:t xml:space="preserve"> call</w:t>
            </w:r>
          </w:p>
          <w:p w:rsidR="001C59DE" w:rsidRPr="00854508" w:rsidRDefault="001C59DE" w:rsidP="00854508">
            <w:pPr>
              <w:pStyle w:val="ListParagraph"/>
              <w:ind w:left="360"/>
              <w:rPr>
                <w:rFonts w:asciiTheme="minorHAnsi" w:hAnsiTheme="minorHAnsi" w:cs="Arial"/>
                <w:bCs/>
                <w:sz w:val="20"/>
              </w:rPr>
            </w:pPr>
          </w:p>
        </w:tc>
      </w:tr>
    </w:tbl>
    <w:p w:rsidR="004F1306" w:rsidRPr="000270A6" w:rsidRDefault="004F1306" w:rsidP="004F1306">
      <w:pPr>
        <w:rPr>
          <w:rFonts w:asciiTheme="minorHAnsi" w:hAnsiTheme="minorHAnsi" w:cs="Arial"/>
          <w:sz w:val="20"/>
        </w:rPr>
      </w:pPr>
    </w:p>
    <w:tbl>
      <w:tblPr>
        <w:tblStyle w:val="LightList-Accent5"/>
        <w:tblW w:w="0" w:type="auto"/>
        <w:tblLook w:val="04A0"/>
      </w:tblPr>
      <w:tblGrid>
        <w:gridCol w:w="1808"/>
        <w:gridCol w:w="3186"/>
        <w:gridCol w:w="1527"/>
        <w:gridCol w:w="2748"/>
        <w:gridCol w:w="1747"/>
      </w:tblGrid>
      <w:tr w:rsidR="00CE7440" w:rsidRPr="003C4048" w:rsidTr="00EC3A1A">
        <w:trPr>
          <w:cnfStyle w:val="100000000000"/>
          <w:tblHeader/>
        </w:trPr>
        <w:tc>
          <w:tcPr>
            <w:cnfStyle w:val="001000000000"/>
            <w:tcW w:w="11016" w:type="dxa"/>
            <w:gridSpan w:val="5"/>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3C4048" w:rsidRDefault="00CE7440" w:rsidP="00504891">
            <w:pPr>
              <w:jc w:val="center"/>
              <w:rPr>
                <w:rFonts w:asciiTheme="minorHAnsi" w:hAnsiTheme="minorHAnsi" w:cs="Arial"/>
                <w:color w:val="000000" w:themeColor="text1"/>
                <w:sz w:val="20"/>
              </w:rPr>
            </w:pPr>
            <w:r w:rsidRPr="003C4048">
              <w:rPr>
                <w:rFonts w:asciiTheme="minorHAnsi" w:hAnsiTheme="minorHAnsi" w:cs="Arial"/>
                <w:color w:val="000000" w:themeColor="text1"/>
                <w:sz w:val="20"/>
              </w:rPr>
              <w:t xml:space="preserve">Meeting </w:t>
            </w:r>
            <w:r w:rsidR="00504891" w:rsidRPr="003C4048">
              <w:rPr>
                <w:rFonts w:asciiTheme="minorHAnsi" w:hAnsiTheme="minorHAnsi" w:cs="Arial"/>
                <w:color w:val="000000" w:themeColor="text1"/>
                <w:sz w:val="20"/>
              </w:rPr>
              <w:t>Notes</w:t>
            </w:r>
          </w:p>
        </w:tc>
      </w:tr>
      <w:tr w:rsidR="008F7277" w:rsidRPr="003C4048" w:rsidTr="00EC3A1A">
        <w:trPr>
          <w:cnfStyle w:val="100000000000"/>
          <w:tblHeader/>
        </w:trPr>
        <w:tc>
          <w:tcPr>
            <w:cnfStyle w:val="001000000000"/>
            <w:tcW w:w="1808"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3C4048" w:rsidRDefault="00CE7440" w:rsidP="00CE7440">
            <w:pPr>
              <w:jc w:val="center"/>
              <w:rPr>
                <w:rFonts w:asciiTheme="minorHAnsi" w:hAnsiTheme="minorHAnsi" w:cs="Arial"/>
                <w:color w:val="000000" w:themeColor="text1"/>
                <w:sz w:val="20"/>
              </w:rPr>
            </w:pPr>
            <w:r w:rsidRPr="003C4048">
              <w:rPr>
                <w:rFonts w:asciiTheme="minorHAnsi" w:hAnsiTheme="minorHAnsi" w:cs="Arial"/>
                <w:color w:val="000000" w:themeColor="text1"/>
                <w:sz w:val="20"/>
              </w:rPr>
              <w:t>Topic</w:t>
            </w:r>
          </w:p>
        </w:tc>
        <w:tc>
          <w:tcPr>
            <w:tcW w:w="3186"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3C4048" w:rsidRDefault="00CE7440" w:rsidP="00CE7440">
            <w:pPr>
              <w:jc w:val="center"/>
              <w:cnfStyle w:val="100000000000"/>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Description</w:t>
            </w:r>
          </w:p>
        </w:tc>
        <w:tc>
          <w:tcPr>
            <w:tcW w:w="1527"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3C4048" w:rsidRDefault="0083496E" w:rsidP="009564F8">
            <w:pPr>
              <w:cnfStyle w:val="100000000000"/>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Discussion lead</w:t>
            </w:r>
            <w:r w:rsidR="009564F8" w:rsidRPr="003C4048">
              <w:rPr>
                <w:rFonts w:asciiTheme="minorHAnsi" w:hAnsiTheme="minorHAnsi" w:cs="Arial"/>
                <w:b w:val="0"/>
                <w:color w:val="000000" w:themeColor="text1"/>
                <w:sz w:val="20"/>
              </w:rPr>
              <w:t>/participant</w:t>
            </w:r>
          </w:p>
        </w:tc>
        <w:tc>
          <w:tcPr>
            <w:tcW w:w="2748"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3C4048" w:rsidRDefault="00CE7440" w:rsidP="00CE7440">
            <w:pPr>
              <w:jc w:val="center"/>
              <w:cnfStyle w:val="100000000000"/>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Action Item</w:t>
            </w:r>
            <w:r w:rsidR="008F7277" w:rsidRPr="003C4048">
              <w:rPr>
                <w:rFonts w:asciiTheme="minorHAnsi" w:hAnsiTheme="minorHAnsi" w:cs="Arial"/>
                <w:b w:val="0"/>
                <w:color w:val="000000" w:themeColor="text1"/>
                <w:sz w:val="20"/>
              </w:rPr>
              <w:t>/Next Steps</w:t>
            </w:r>
            <w:r w:rsidR="009564F8" w:rsidRPr="003C4048">
              <w:rPr>
                <w:rFonts w:asciiTheme="minorHAnsi" w:hAnsiTheme="minorHAnsi" w:cs="Arial"/>
                <w:b w:val="0"/>
                <w:color w:val="000000" w:themeColor="text1"/>
                <w:sz w:val="20"/>
              </w:rPr>
              <w:t>, Owner</w:t>
            </w:r>
          </w:p>
        </w:tc>
        <w:tc>
          <w:tcPr>
            <w:tcW w:w="1747"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3C4048" w:rsidRDefault="009564F8" w:rsidP="00CE7440">
            <w:pPr>
              <w:jc w:val="center"/>
              <w:cnfStyle w:val="100000000000"/>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 xml:space="preserve">Target </w:t>
            </w:r>
            <w:r w:rsidR="00CE7440" w:rsidRPr="003C4048">
              <w:rPr>
                <w:rFonts w:asciiTheme="minorHAnsi" w:hAnsiTheme="minorHAnsi" w:cs="Arial"/>
                <w:b w:val="0"/>
                <w:color w:val="000000" w:themeColor="text1"/>
                <w:sz w:val="20"/>
              </w:rPr>
              <w:t>Date</w:t>
            </w:r>
            <w:r w:rsidRPr="003C4048">
              <w:rPr>
                <w:rFonts w:asciiTheme="minorHAnsi" w:hAnsiTheme="minorHAnsi" w:cs="Arial"/>
                <w:b w:val="0"/>
                <w:color w:val="000000" w:themeColor="text1"/>
                <w:sz w:val="20"/>
              </w:rPr>
              <w:t>/Period</w:t>
            </w:r>
          </w:p>
        </w:tc>
      </w:tr>
      <w:tr w:rsidR="0083496E" w:rsidRPr="003C4048" w:rsidTr="008F7277">
        <w:trPr>
          <w:cnfStyle w:val="000000100000"/>
          <w:trHeight w:val="1150"/>
        </w:trPr>
        <w:tc>
          <w:tcPr>
            <w:cnfStyle w:val="001000000000"/>
            <w:tcW w:w="1808" w:type="dxa"/>
            <w:tcBorders>
              <w:top w:val="single" w:sz="8" w:space="0" w:color="8DB3E2" w:themeColor="text2" w:themeTint="66"/>
            </w:tcBorders>
          </w:tcPr>
          <w:p w:rsidR="00CE7440" w:rsidRPr="003C4048" w:rsidRDefault="0083496E" w:rsidP="0032437D">
            <w:pPr>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Summary of OMG FDTF’s Financial Reform Standards work streams</w:t>
            </w:r>
          </w:p>
        </w:tc>
        <w:tc>
          <w:tcPr>
            <w:tcW w:w="3186" w:type="dxa"/>
            <w:tcBorders>
              <w:top w:val="single" w:sz="8" w:space="0" w:color="8DB3E2" w:themeColor="text2" w:themeTint="66"/>
            </w:tcBorders>
          </w:tcPr>
          <w:p w:rsidR="0083496E" w:rsidRPr="003C4048" w:rsidRDefault="0083496E" w:rsidP="009564F8">
            <w:pPr>
              <w:spacing w:before="100" w:beforeAutospacing="1" w:after="100" w:afterAutospacing="1"/>
              <w:cnfStyle w:val="000000100000"/>
              <w:rPr>
                <w:rFonts w:asciiTheme="minorHAnsi" w:hAnsiTheme="minorHAnsi"/>
                <w:color w:val="000000" w:themeColor="text1"/>
                <w:sz w:val="20"/>
                <w:lang/>
              </w:rPr>
            </w:pPr>
            <w:r w:rsidRPr="003C4048">
              <w:rPr>
                <w:rFonts w:asciiTheme="minorHAnsi" w:hAnsiTheme="minorHAnsi" w:cs="Arial"/>
                <w:color w:val="000000" w:themeColor="text1"/>
                <w:sz w:val="20"/>
              </w:rPr>
              <w:t xml:space="preserve">Please refer to Slide 4 of </w:t>
            </w:r>
            <w:r w:rsidRPr="003C4048">
              <w:rPr>
                <w:rFonts w:asciiTheme="minorHAnsi" w:hAnsiTheme="minorHAnsi"/>
                <w:color w:val="000000" w:themeColor="text1"/>
                <w:sz w:val="20"/>
                <w:lang/>
              </w:rPr>
              <w:t xml:space="preserve">April 13th 2011 Kick-off call  Presentation </w:t>
            </w:r>
          </w:p>
        </w:tc>
        <w:tc>
          <w:tcPr>
            <w:tcW w:w="1527" w:type="dxa"/>
            <w:tcBorders>
              <w:top w:val="single" w:sz="8" w:space="0" w:color="8DB3E2" w:themeColor="text2" w:themeTint="66"/>
            </w:tcBorders>
          </w:tcPr>
          <w:p w:rsidR="00CE7440" w:rsidRPr="003C4048" w:rsidRDefault="009564F8" w:rsidP="0032437D">
            <w:pPr>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Harsh Sharma</w:t>
            </w:r>
          </w:p>
        </w:tc>
        <w:tc>
          <w:tcPr>
            <w:tcW w:w="2748" w:type="dxa"/>
            <w:tcBorders>
              <w:top w:val="single" w:sz="8" w:space="0" w:color="8DB3E2" w:themeColor="text2" w:themeTint="66"/>
            </w:tcBorders>
          </w:tcPr>
          <w:p w:rsidR="00CE7440" w:rsidRPr="003C4048" w:rsidRDefault="00CE7440" w:rsidP="0032437D">
            <w:pPr>
              <w:cnfStyle w:val="000000100000"/>
              <w:rPr>
                <w:rFonts w:asciiTheme="minorHAnsi" w:hAnsiTheme="minorHAnsi" w:cs="Arial"/>
                <w:color w:val="000000" w:themeColor="text1"/>
                <w:sz w:val="20"/>
              </w:rPr>
            </w:pPr>
          </w:p>
        </w:tc>
        <w:tc>
          <w:tcPr>
            <w:tcW w:w="1747" w:type="dxa"/>
            <w:tcBorders>
              <w:top w:val="single" w:sz="8" w:space="0" w:color="8DB3E2" w:themeColor="text2" w:themeTint="66"/>
            </w:tcBorders>
          </w:tcPr>
          <w:p w:rsidR="00CE7440" w:rsidRPr="003C4048" w:rsidRDefault="00CE7440" w:rsidP="0032437D">
            <w:pPr>
              <w:cnfStyle w:val="000000100000"/>
              <w:rPr>
                <w:rFonts w:asciiTheme="minorHAnsi" w:hAnsiTheme="minorHAnsi" w:cs="Arial"/>
                <w:color w:val="000000" w:themeColor="text1"/>
                <w:sz w:val="20"/>
              </w:rPr>
            </w:pPr>
          </w:p>
        </w:tc>
      </w:tr>
      <w:tr w:rsidR="0083496E" w:rsidRPr="003C4048" w:rsidTr="008F7277">
        <w:tc>
          <w:tcPr>
            <w:cnfStyle w:val="001000000000"/>
            <w:tcW w:w="1808" w:type="dxa"/>
          </w:tcPr>
          <w:p w:rsidR="00CE7440" w:rsidRPr="003C4048" w:rsidRDefault="0083496E" w:rsidP="0032437D">
            <w:pPr>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 xml:space="preserve">Summary of proposed white paper on </w:t>
            </w:r>
            <w:r w:rsidR="00504891" w:rsidRPr="003C4048">
              <w:rPr>
                <w:rFonts w:asciiTheme="minorHAnsi" w:hAnsiTheme="minorHAnsi" w:cs="Arial"/>
                <w:b w:val="0"/>
                <w:color w:val="000000" w:themeColor="text1"/>
                <w:sz w:val="20"/>
              </w:rPr>
              <w:t>Sustainable data strategy and framework for financial reform regulations</w:t>
            </w:r>
          </w:p>
        </w:tc>
        <w:tc>
          <w:tcPr>
            <w:tcW w:w="3186" w:type="dxa"/>
          </w:tcPr>
          <w:p w:rsidR="00CE7440" w:rsidRPr="003C4048" w:rsidRDefault="00504891" w:rsidP="00504891">
            <w:pPr>
              <w:pStyle w:val="ListParagraph"/>
              <w:numPr>
                <w:ilvl w:val="0"/>
                <w:numId w:val="25"/>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Harsh Sharma summarized the main sections of the proposed white paper</w:t>
            </w:r>
          </w:p>
          <w:p w:rsidR="00504891" w:rsidRPr="003C4048" w:rsidRDefault="00504891" w:rsidP="00504891">
            <w:pPr>
              <w:pStyle w:val="ListParagraph"/>
              <w:numPr>
                <w:ilvl w:val="0"/>
                <w:numId w:val="25"/>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Harsh Sharma indicated that John Bottega from Federal Reserve, NY expressed interest  in working on the white paper</w:t>
            </w:r>
          </w:p>
          <w:p w:rsidR="00504891" w:rsidRPr="003C4048" w:rsidRDefault="00504891" w:rsidP="00504891">
            <w:pPr>
              <w:pStyle w:val="ListParagraph"/>
              <w:numPr>
                <w:ilvl w:val="0"/>
                <w:numId w:val="25"/>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 xml:space="preserve">Charles Taylor indicated that a business case to policy makers will require additional research, funding to arrive at meaningful cost-benefits. </w:t>
            </w:r>
          </w:p>
          <w:p w:rsidR="006B529E" w:rsidRPr="003C4048" w:rsidRDefault="006B529E" w:rsidP="006B529E">
            <w:pPr>
              <w:pStyle w:val="ListParagraph"/>
              <w:numPr>
                <w:ilvl w:val="1"/>
                <w:numId w:val="25"/>
              </w:numPr>
              <w:ind w:left="622" w:hanging="270"/>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Now have a choice how far you want to go on the spectrum from vision at one end to business case well validated and everything else nailed down. The more you move to the latter, the more you talk about serious resources, this poses a problem, e.g. ideally would hire consultants to do this if there was budget but there isn't. Needs talking to a lot of people, analysis on costs as well as benefits. So in this timeline, how deep do we want to go? What effect do we want to achieve? Expense and timeline may be ambitious.</w:t>
            </w:r>
          </w:p>
          <w:p w:rsidR="00F54881" w:rsidRPr="003C4048" w:rsidRDefault="00F54881" w:rsidP="006B529E">
            <w:pPr>
              <w:pStyle w:val="ListParagraph"/>
              <w:numPr>
                <w:ilvl w:val="1"/>
                <w:numId w:val="25"/>
              </w:numPr>
              <w:ind w:left="622" w:hanging="270"/>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Has OMG done work with this kind of regulatory effort before, do you have standard processes for interacting with government agencies trying to drive forward this kind of process?</w:t>
            </w:r>
          </w:p>
          <w:p w:rsidR="00F54881" w:rsidRPr="003C4048" w:rsidRDefault="00F54881" w:rsidP="006B529E">
            <w:pPr>
              <w:pStyle w:val="ListParagraph"/>
              <w:numPr>
                <w:ilvl w:val="1"/>
                <w:numId w:val="25"/>
              </w:numPr>
              <w:ind w:left="622" w:hanging="270"/>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HS, Jim Odell, Cory Casanave, others: Yes. There is a government Task Force in OMG, interacts with whole spectrum of government agencies including regulatory, Office of Budget Management etc. Happy to connect with chair of that group, Larry Johnson from that point of view. OMG also working with 19 government agencies on records management. Also regulatory compliance group (Said Tabet, who is not on this call), Standards on regulatory compliance, manufacturing, lifecycle of a regulation, worked with SEC and others, with Basel in Europe etc. So yes. Also there are dozens of Task Forces in OMG they all have government participation. OMG also has deep experience in working with military, for example making sure standards fit.</w:t>
            </w:r>
          </w:p>
          <w:p w:rsidR="00504891" w:rsidRPr="003C4048" w:rsidRDefault="00504891" w:rsidP="00504891">
            <w:pPr>
              <w:pStyle w:val="ListParagraph"/>
              <w:numPr>
                <w:ilvl w:val="0"/>
                <w:numId w:val="25"/>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Mike Atkin proposed that perhaps we should do a summary level, ‘sales-doc’ highlighting what are the necessary ingredients of a sustainable data strategy for  financial reform regulations</w:t>
            </w:r>
          </w:p>
        </w:tc>
        <w:tc>
          <w:tcPr>
            <w:tcW w:w="1527" w:type="dxa"/>
          </w:tcPr>
          <w:p w:rsidR="00CE7440" w:rsidRPr="003C4048" w:rsidRDefault="0083496E" w:rsidP="0032437D">
            <w:p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Harsh Sharma,</w:t>
            </w:r>
          </w:p>
          <w:p w:rsidR="0083496E" w:rsidRPr="003C4048" w:rsidRDefault="0083496E" w:rsidP="0032437D">
            <w:p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Charles Taylor</w:t>
            </w:r>
          </w:p>
        </w:tc>
        <w:tc>
          <w:tcPr>
            <w:tcW w:w="2748" w:type="dxa"/>
          </w:tcPr>
          <w:p w:rsidR="00CE7440" w:rsidRPr="003C4048" w:rsidRDefault="0083496E" w:rsidP="0032437D">
            <w:p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Harsh Sharma to work with Charles and others interested in developing the white paper outline</w:t>
            </w:r>
          </w:p>
          <w:p w:rsidR="00504891" w:rsidRPr="003C4048" w:rsidRDefault="00504891" w:rsidP="0032437D">
            <w:pPr>
              <w:cnfStyle w:val="000000000000"/>
              <w:rPr>
                <w:rFonts w:asciiTheme="minorHAnsi" w:hAnsiTheme="minorHAnsi" w:cs="Arial"/>
                <w:color w:val="000000" w:themeColor="text1"/>
                <w:sz w:val="20"/>
              </w:rPr>
            </w:pPr>
          </w:p>
        </w:tc>
        <w:tc>
          <w:tcPr>
            <w:tcW w:w="1747" w:type="dxa"/>
          </w:tcPr>
          <w:p w:rsidR="00CE7440" w:rsidRPr="003C4048" w:rsidRDefault="00504891" w:rsidP="0032437D">
            <w:p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Present and review WP</w:t>
            </w:r>
            <w:r w:rsidR="0083496E" w:rsidRPr="003C4048">
              <w:rPr>
                <w:rFonts w:asciiTheme="minorHAnsi" w:hAnsiTheme="minorHAnsi" w:cs="Arial"/>
                <w:color w:val="000000" w:themeColor="text1"/>
                <w:sz w:val="20"/>
              </w:rPr>
              <w:t xml:space="preserve"> Outline on May 4</w:t>
            </w:r>
            <w:r w:rsidR="0083496E" w:rsidRPr="003C4048">
              <w:rPr>
                <w:rFonts w:asciiTheme="minorHAnsi" w:hAnsiTheme="minorHAnsi" w:cs="Arial"/>
                <w:color w:val="000000" w:themeColor="text1"/>
                <w:sz w:val="20"/>
                <w:vertAlign w:val="superscript"/>
              </w:rPr>
              <w:t>th</w:t>
            </w:r>
            <w:r w:rsidR="0083496E" w:rsidRPr="003C4048">
              <w:rPr>
                <w:rFonts w:asciiTheme="minorHAnsi" w:hAnsiTheme="minorHAnsi" w:cs="Arial"/>
                <w:color w:val="000000" w:themeColor="text1"/>
                <w:sz w:val="20"/>
              </w:rPr>
              <w:t xml:space="preserve"> or May 11</w:t>
            </w:r>
            <w:r w:rsidR="0083496E" w:rsidRPr="003C4048">
              <w:rPr>
                <w:rFonts w:asciiTheme="minorHAnsi" w:hAnsiTheme="minorHAnsi" w:cs="Arial"/>
                <w:color w:val="000000" w:themeColor="text1"/>
                <w:sz w:val="20"/>
                <w:vertAlign w:val="superscript"/>
              </w:rPr>
              <w:t>th</w:t>
            </w:r>
            <w:r w:rsidR="0083496E" w:rsidRPr="003C4048">
              <w:rPr>
                <w:rFonts w:asciiTheme="minorHAnsi" w:hAnsiTheme="minorHAnsi" w:cs="Arial"/>
                <w:color w:val="000000" w:themeColor="text1"/>
                <w:sz w:val="20"/>
              </w:rPr>
              <w:t xml:space="preserve"> call (TBC)</w:t>
            </w:r>
          </w:p>
        </w:tc>
      </w:tr>
      <w:tr w:rsidR="0083496E" w:rsidRPr="003C4048" w:rsidTr="008F7277">
        <w:trPr>
          <w:cnfStyle w:val="000000100000"/>
        </w:trPr>
        <w:tc>
          <w:tcPr>
            <w:cnfStyle w:val="001000000000"/>
            <w:tcW w:w="1808" w:type="dxa"/>
          </w:tcPr>
          <w:p w:rsidR="00CE7440" w:rsidRPr="003C4048" w:rsidRDefault="009564F8" w:rsidP="0032437D">
            <w:pPr>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Scope of the proposed EDMC-OMG standard</w:t>
            </w:r>
          </w:p>
        </w:tc>
        <w:tc>
          <w:tcPr>
            <w:tcW w:w="3186" w:type="dxa"/>
          </w:tcPr>
          <w:p w:rsidR="009564F8" w:rsidRPr="003C4048" w:rsidRDefault="009564F8" w:rsidP="009564F8">
            <w:pPr>
              <w:pStyle w:val="ListParagraph"/>
              <w:numPr>
                <w:ilvl w:val="0"/>
                <w:numId w:val="26"/>
              </w:numPr>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Harsh Sharma provided a summary of Slide 7 (proposed work streams)</w:t>
            </w:r>
          </w:p>
          <w:p w:rsidR="009564F8" w:rsidRPr="003C4048" w:rsidRDefault="009564F8" w:rsidP="009564F8">
            <w:pPr>
              <w:pStyle w:val="ListParagraph"/>
              <w:numPr>
                <w:ilvl w:val="0"/>
                <w:numId w:val="26"/>
              </w:numPr>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Mike Bennett: Legal Entity model is almost done, Security is in Beta</w:t>
            </w:r>
          </w:p>
          <w:p w:rsidR="009564F8" w:rsidRPr="003C4048" w:rsidRDefault="009564F8" w:rsidP="009564F8">
            <w:pPr>
              <w:pStyle w:val="ListParagraph"/>
              <w:numPr>
                <w:ilvl w:val="0"/>
                <w:numId w:val="26"/>
              </w:numPr>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Mike Atkin: We need to define the components of what is Release 1</w:t>
            </w:r>
            <w:r w:rsidR="006B529E" w:rsidRPr="003C4048">
              <w:rPr>
                <w:rFonts w:asciiTheme="minorHAnsi" w:hAnsiTheme="minorHAnsi" w:cs="Arial"/>
                <w:color w:val="000000" w:themeColor="text1"/>
                <w:sz w:val="20"/>
              </w:rPr>
              <w:t xml:space="preserve">. </w:t>
            </w:r>
          </w:p>
          <w:p w:rsidR="009564F8" w:rsidRPr="003C4048" w:rsidRDefault="009564F8" w:rsidP="009564F8">
            <w:pPr>
              <w:pStyle w:val="ListParagraph"/>
              <w:numPr>
                <w:ilvl w:val="0"/>
                <w:numId w:val="26"/>
              </w:numPr>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David Frankel: Are Loans covered?</w:t>
            </w:r>
          </w:p>
          <w:p w:rsidR="006B529E" w:rsidRPr="003C4048" w:rsidRDefault="009564F8" w:rsidP="006B529E">
            <w:pPr>
              <w:pStyle w:val="ListParagraph"/>
              <w:numPr>
                <w:ilvl w:val="1"/>
                <w:numId w:val="26"/>
              </w:numPr>
              <w:ind w:left="622" w:hanging="270"/>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Mike Bennett: Loans are covered in the Semantics Repository. Major sections of the repository are: Entity, Products and Loans. Retail banking needs to look at MISMO standard</w:t>
            </w:r>
            <w:r w:rsidR="006B529E" w:rsidRPr="003C4048">
              <w:rPr>
                <w:rFonts w:asciiTheme="minorHAnsi" w:hAnsiTheme="minorHAnsi" w:cs="Arial"/>
                <w:color w:val="000000" w:themeColor="text1"/>
                <w:sz w:val="20"/>
              </w:rPr>
              <w:t>. Loans work won't be considered complete until we can map to that. So scope would be that of MISMO (but as a semantic model).</w:t>
            </w:r>
          </w:p>
          <w:p w:rsidR="00EC3A1A" w:rsidRPr="003C4048" w:rsidRDefault="00EC3A1A" w:rsidP="008F7277">
            <w:pPr>
              <w:pStyle w:val="ListParagraph"/>
              <w:numPr>
                <w:ilvl w:val="0"/>
                <w:numId w:val="26"/>
              </w:numPr>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Mike Bennett: Need to also focus on: Modeling framework and alignment with ODM, OWL and SBVR standards</w:t>
            </w:r>
          </w:p>
          <w:p w:rsidR="00EC3A1A" w:rsidRPr="003C4048" w:rsidRDefault="00EC3A1A" w:rsidP="00EC3A1A">
            <w:pPr>
              <w:pStyle w:val="ListParagraph"/>
              <w:numPr>
                <w:ilvl w:val="0"/>
                <w:numId w:val="30"/>
              </w:numPr>
              <w:ind w:left="622" w:hanging="270"/>
              <w:cnfStyle w:val="000000100000"/>
              <w:rPr>
                <w:rFonts w:asciiTheme="minorHAnsi" w:hAnsiTheme="minorHAnsi"/>
                <w:sz w:val="20"/>
              </w:rPr>
            </w:pPr>
            <w:r w:rsidRPr="003C4048">
              <w:rPr>
                <w:rFonts w:asciiTheme="minorHAnsi" w:hAnsiTheme="minorHAnsi"/>
                <w:sz w:val="20"/>
              </w:rPr>
              <w:t>Enhancements to the technology underpinning the Standard</w:t>
            </w:r>
          </w:p>
          <w:p w:rsidR="00EC3A1A" w:rsidRPr="003C4048" w:rsidRDefault="00EC3A1A" w:rsidP="00EC3A1A">
            <w:pPr>
              <w:pStyle w:val="ListParagraph"/>
              <w:numPr>
                <w:ilvl w:val="0"/>
                <w:numId w:val="30"/>
              </w:numPr>
              <w:ind w:left="622" w:hanging="270"/>
              <w:cnfStyle w:val="000000100000"/>
              <w:rPr>
                <w:rFonts w:asciiTheme="minorHAnsi" w:hAnsiTheme="minorHAnsi"/>
                <w:sz w:val="20"/>
              </w:rPr>
            </w:pPr>
            <w:r w:rsidRPr="003C4048">
              <w:rPr>
                <w:rFonts w:asciiTheme="minorHAnsi" w:hAnsiTheme="minorHAnsi"/>
                <w:sz w:val="20"/>
              </w:rPr>
              <w:t>ODM – evaluate and align with the ODM standard (including any enhancements needed)</w:t>
            </w:r>
          </w:p>
          <w:p w:rsidR="00EC3A1A" w:rsidRPr="003C4048" w:rsidRDefault="00EC3A1A" w:rsidP="00EC3A1A">
            <w:pPr>
              <w:pStyle w:val="ListParagraph"/>
              <w:numPr>
                <w:ilvl w:val="0"/>
                <w:numId w:val="30"/>
              </w:numPr>
              <w:ind w:left="622" w:hanging="270"/>
              <w:cnfStyle w:val="000000100000"/>
              <w:rPr>
                <w:rFonts w:asciiTheme="minorHAnsi" w:hAnsiTheme="minorHAnsi"/>
                <w:sz w:val="20"/>
              </w:rPr>
            </w:pPr>
            <w:r w:rsidRPr="003C4048">
              <w:rPr>
                <w:rFonts w:asciiTheme="minorHAnsi" w:hAnsiTheme="minorHAnsi"/>
                <w:sz w:val="20"/>
              </w:rPr>
              <w:t>OWL – enhancements to, alternatives to, modifications of</w:t>
            </w:r>
          </w:p>
          <w:p w:rsidR="00EC3A1A" w:rsidRPr="003C4048" w:rsidRDefault="00EC3A1A" w:rsidP="00EC3A1A">
            <w:pPr>
              <w:pStyle w:val="ListParagraph"/>
              <w:numPr>
                <w:ilvl w:val="0"/>
                <w:numId w:val="30"/>
              </w:numPr>
              <w:ind w:left="622" w:hanging="270"/>
              <w:cnfStyle w:val="000000100000"/>
              <w:rPr>
                <w:rFonts w:asciiTheme="minorHAnsi" w:hAnsiTheme="minorHAnsi" w:cs="Arial"/>
                <w:color w:val="000000" w:themeColor="text1"/>
                <w:sz w:val="20"/>
              </w:rPr>
            </w:pPr>
            <w:r w:rsidRPr="003C4048">
              <w:rPr>
                <w:rFonts w:asciiTheme="minorHAnsi" w:hAnsiTheme="minorHAnsi"/>
                <w:sz w:val="20"/>
              </w:rPr>
              <w:t>SBVR – mapping of SBVR content with the Semantics Repository (what exists within SBVR that can be leveraged)</w:t>
            </w:r>
          </w:p>
          <w:p w:rsidR="00EC3A1A" w:rsidRPr="003C4048" w:rsidRDefault="00EC3A1A" w:rsidP="00EC3A1A">
            <w:pPr>
              <w:pStyle w:val="ListParagraph"/>
              <w:numPr>
                <w:ilvl w:val="0"/>
                <w:numId w:val="30"/>
              </w:numPr>
              <w:ind w:left="622" w:hanging="270"/>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 xml:space="preserve">Upper Ontology: </w:t>
            </w:r>
            <w:r w:rsidRPr="003C4048">
              <w:rPr>
                <w:rFonts w:asciiTheme="minorHAnsi" w:hAnsiTheme="minorHAnsi"/>
                <w:sz w:val="20"/>
              </w:rPr>
              <w:t>Management of namespace and archetypes (alignment)</w:t>
            </w:r>
          </w:p>
          <w:p w:rsidR="00EC3A1A" w:rsidRPr="003C4048" w:rsidRDefault="00EC3A1A" w:rsidP="00EC3A1A">
            <w:pPr>
              <w:pStyle w:val="ListParagraph"/>
              <w:numPr>
                <w:ilvl w:val="0"/>
                <w:numId w:val="30"/>
              </w:numPr>
              <w:ind w:left="622" w:hanging="270"/>
              <w:cnfStyle w:val="000000100000"/>
              <w:rPr>
                <w:rFonts w:asciiTheme="minorHAnsi" w:hAnsiTheme="minorHAnsi"/>
                <w:sz w:val="20"/>
              </w:rPr>
            </w:pPr>
            <w:r w:rsidRPr="003C4048">
              <w:rPr>
                <w:rFonts w:asciiTheme="minorHAnsi" w:hAnsiTheme="minorHAnsi"/>
                <w:sz w:val="20"/>
              </w:rPr>
              <w:t xml:space="preserve">Migration of Semantics Repository to Metadata Repository </w:t>
            </w:r>
          </w:p>
          <w:p w:rsidR="00EC3A1A" w:rsidRPr="003C4048" w:rsidRDefault="00EC3A1A" w:rsidP="00EC3A1A">
            <w:pPr>
              <w:pStyle w:val="ListParagraph"/>
              <w:numPr>
                <w:ilvl w:val="1"/>
                <w:numId w:val="32"/>
              </w:numPr>
              <w:ind w:left="892" w:hanging="274"/>
              <w:cnfStyle w:val="000000100000"/>
              <w:rPr>
                <w:rFonts w:asciiTheme="minorHAnsi" w:hAnsiTheme="minorHAnsi"/>
                <w:sz w:val="20"/>
              </w:rPr>
            </w:pPr>
            <w:r w:rsidRPr="003C4048">
              <w:rPr>
                <w:rFonts w:asciiTheme="minorHAnsi" w:hAnsiTheme="minorHAnsi"/>
                <w:sz w:val="20"/>
              </w:rPr>
              <w:t>Management of access and availability</w:t>
            </w:r>
          </w:p>
          <w:p w:rsidR="00EC3A1A" w:rsidRPr="003C4048" w:rsidRDefault="00EC3A1A" w:rsidP="00EC3A1A">
            <w:pPr>
              <w:pStyle w:val="ListParagraph"/>
              <w:numPr>
                <w:ilvl w:val="1"/>
                <w:numId w:val="32"/>
              </w:numPr>
              <w:ind w:left="892" w:hanging="274"/>
              <w:cnfStyle w:val="000000100000"/>
              <w:rPr>
                <w:rFonts w:asciiTheme="minorHAnsi" w:hAnsiTheme="minorHAnsi"/>
                <w:sz w:val="20"/>
              </w:rPr>
            </w:pPr>
            <w:r w:rsidRPr="003C4048">
              <w:rPr>
                <w:rFonts w:asciiTheme="minorHAnsi" w:hAnsiTheme="minorHAnsi"/>
                <w:sz w:val="20"/>
              </w:rPr>
              <w:t>Key dependencies (and timing of each)</w:t>
            </w:r>
          </w:p>
          <w:p w:rsidR="00EC3A1A" w:rsidRPr="003C4048" w:rsidRDefault="00EC3A1A" w:rsidP="00EC3A1A">
            <w:pPr>
              <w:pStyle w:val="ListParagraph"/>
              <w:numPr>
                <w:ilvl w:val="1"/>
                <w:numId w:val="32"/>
              </w:numPr>
              <w:ind w:left="892" w:hanging="274"/>
              <w:cnfStyle w:val="000000100000"/>
              <w:rPr>
                <w:rFonts w:asciiTheme="minorHAnsi" w:hAnsiTheme="minorHAnsi" w:cs="Arial"/>
                <w:color w:val="000000" w:themeColor="text1"/>
                <w:sz w:val="20"/>
              </w:rPr>
            </w:pPr>
            <w:r w:rsidRPr="003C4048">
              <w:rPr>
                <w:rFonts w:asciiTheme="minorHAnsi" w:hAnsiTheme="minorHAnsi"/>
                <w:sz w:val="20"/>
              </w:rPr>
              <w:t>Relationship with repository and tool providers (contractual)</w:t>
            </w:r>
          </w:p>
          <w:p w:rsidR="00F54881" w:rsidRPr="003C4048" w:rsidRDefault="00F54881" w:rsidP="00F54881">
            <w:pPr>
              <w:pStyle w:val="ListParagraph"/>
              <w:numPr>
                <w:ilvl w:val="0"/>
                <w:numId w:val="32"/>
              </w:numPr>
              <w:ind w:left="172" w:hanging="164"/>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Donald Chapin: Most of the semantic relations in the Semantics Repository we have already in SBVR. Early things MB and DC need to do is do a table of what's in the Semantics Repository and what we want to add to it. Action: DC and MB to work on that.</w:t>
            </w:r>
          </w:p>
          <w:p w:rsidR="00F54881" w:rsidRPr="003C4048" w:rsidRDefault="00F54881" w:rsidP="00F54881">
            <w:pPr>
              <w:pStyle w:val="ListParagraph"/>
              <w:numPr>
                <w:ilvl w:val="0"/>
                <w:numId w:val="32"/>
              </w:numPr>
              <w:ind w:left="172" w:hanging="164"/>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Dave Frankel: Mike Bennett is also suggesting need for some updates to ODM standard. Should Work with Elisa and others on ODM.</w:t>
            </w:r>
          </w:p>
          <w:p w:rsidR="00F54881" w:rsidRPr="003C4048" w:rsidRDefault="00F54881" w:rsidP="00F54881">
            <w:pPr>
              <w:pStyle w:val="ListParagraph"/>
              <w:numPr>
                <w:ilvl w:val="0"/>
                <w:numId w:val="32"/>
              </w:numPr>
              <w:ind w:left="172" w:hanging="164"/>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Mike Bennett: Have assumed it is a condition of this work that we work closely with Sandpiper and other ODM players. We would not want to stand here in isolation and ask for changes to the ODM spec, but rather work with them to identify what are potential additions to ODM (if any), what are changes to the SR existing draft metamodel, what if anything is additional metamodel in the new standard, and what are things we can do by standardizing our use of OWL.</w:t>
            </w:r>
          </w:p>
          <w:p w:rsidR="00F54881" w:rsidRPr="003C4048" w:rsidRDefault="00F54881" w:rsidP="00F54881">
            <w:pPr>
              <w:pStyle w:val="ListParagraph"/>
              <w:numPr>
                <w:ilvl w:val="0"/>
                <w:numId w:val="32"/>
              </w:numPr>
              <w:ind w:left="172" w:hanging="180"/>
              <w:cnfStyle w:val="000000100000"/>
              <w:rPr>
                <w:rFonts w:asciiTheme="minorHAnsi" w:hAnsiTheme="minorHAnsi"/>
                <w:sz w:val="20"/>
              </w:rPr>
            </w:pPr>
            <w:r w:rsidRPr="003C4048">
              <w:rPr>
                <w:rFonts w:asciiTheme="minorHAnsi" w:hAnsiTheme="minorHAnsi"/>
                <w:sz w:val="20"/>
              </w:rPr>
              <w:t>Donald Chapin: we should incorporate business rules objective into this area of work. SBVR builds rules on top of semantics.</w:t>
            </w:r>
          </w:p>
          <w:p w:rsidR="00F54881" w:rsidRPr="003C4048" w:rsidRDefault="00F54881" w:rsidP="00F54881">
            <w:pPr>
              <w:pStyle w:val="ListParagraph"/>
              <w:numPr>
                <w:ilvl w:val="0"/>
                <w:numId w:val="32"/>
              </w:numPr>
              <w:ind w:left="172" w:hanging="164"/>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 xml:space="preserve">Mike Bennett: In considering SBVR, rules and semantics, the main difference is in the theory of meaning that is in use. In this work we should also consider the SWIFT recent updates to the ISO 20022 FIBIM model, which has a theory of meaning which is coincidentally similar to that of SBVR. Also we should consider the work David Frankel has been doing on tagging data elements with references to semantics </w:t>
            </w:r>
          </w:p>
          <w:p w:rsidR="00F54881" w:rsidRPr="003C4048" w:rsidRDefault="00F54881" w:rsidP="00F54881">
            <w:pPr>
              <w:pStyle w:val="ListParagraph"/>
              <w:numPr>
                <w:ilvl w:val="0"/>
                <w:numId w:val="32"/>
              </w:numPr>
              <w:ind w:left="172" w:hanging="164"/>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Dave Frankel: Agree. This would also lead to a path where can eventually (when the time is right, some way down the line) this work would get the imprimatur of ISO. This is far down the road, but is useful when dealing with government and regulatory bodies around the world.</w:t>
            </w:r>
          </w:p>
        </w:tc>
        <w:tc>
          <w:tcPr>
            <w:tcW w:w="1527" w:type="dxa"/>
          </w:tcPr>
          <w:p w:rsidR="00CE7440" w:rsidRPr="003C4048" w:rsidRDefault="00CE7440" w:rsidP="0032437D">
            <w:pPr>
              <w:cnfStyle w:val="000000100000"/>
              <w:rPr>
                <w:rFonts w:asciiTheme="minorHAnsi" w:hAnsiTheme="minorHAnsi" w:cs="Arial"/>
                <w:color w:val="000000" w:themeColor="text1"/>
                <w:sz w:val="20"/>
              </w:rPr>
            </w:pPr>
          </w:p>
        </w:tc>
        <w:tc>
          <w:tcPr>
            <w:tcW w:w="2748" w:type="dxa"/>
          </w:tcPr>
          <w:p w:rsidR="00CE7440" w:rsidRPr="003C4048" w:rsidRDefault="009564F8" w:rsidP="0032437D">
            <w:pPr>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Better definition of work streams needed</w:t>
            </w:r>
          </w:p>
        </w:tc>
        <w:tc>
          <w:tcPr>
            <w:tcW w:w="1747" w:type="dxa"/>
          </w:tcPr>
          <w:p w:rsidR="00CE7440" w:rsidRPr="003C4048" w:rsidRDefault="009564F8" w:rsidP="0032437D">
            <w:pPr>
              <w:cnfStyle w:val="000000100000"/>
              <w:rPr>
                <w:rFonts w:asciiTheme="minorHAnsi" w:hAnsiTheme="minorHAnsi" w:cs="Arial"/>
                <w:color w:val="000000" w:themeColor="text1"/>
                <w:sz w:val="20"/>
              </w:rPr>
            </w:pPr>
            <w:r w:rsidRPr="003C4048">
              <w:rPr>
                <w:rFonts w:asciiTheme="minorHAnsi" w:hAnsiTheme="minorHAnsi" w:cs="Arial"/>
                <w:color w:val="000000" w:themeColor="text1"/>
                <w:sz w:val="20"/>
              </w:rPr>
              <w:t>Mike Bennett to provide a definition, goals and success criteria on the next call (April 20</w:t>
            </w:r>
            <w:r w:rsidRPr="003C4048">
              <w:rPr>
                <w:rFonts w:asciiTheme="minorHAnsi" w:hAnsiTheme="minorHAnsi" w:cs="Arial"/>
                <w:color w:val="000000" w:themeColor="text1"/>
                <w:sz w:val="20"/>
                <w:vertAlign w:val="superscript"/>
              </w:rPr>
              <w:t>th</w:t>
            </w:r>
            <w:r w:rsidRPr="003C4048">
              <w:rPr>
                <w:rFonts w:asciiTheme="minorHAnsi" w:hAnsiTheme="minorHAnsi" w:cs="Arial"/>
                <w:color w:val="000000" w:themeColor="text1"/>
                <w:sz w:val="20"/>
              </w:rPr>
              <w:t xml:space="preserve"> 2011)</w:t>
            </w:r>
          </w:p>
        </w:tc>
      </w:tr>
      <w:tr w:rsidR="0083496E" w:rsidRPr="003C4048" w:rsidTr="008F7277">
        <w:tc>
          <w:tcPr>
            <w:cnfStyle w:val="001000000000"/>
            <w:tcW w:w="1808" w:type="dxa"/>
          </w:tcPr>
          <w:p w:rsidR="00CE7440" w:rsidRPr="003C4048" w:rsidRDefault="009564F8" w:rsidP="0032437D">
            <w:pPr>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Governance Process</w:t>
            </w:r>
            <w:r w:rsidR="00F54881" w:rsidRPr="003C4048">
              <w:rPr>
                <w:rFonts w:asciiTheme="minorHAnsi" w:hAnsiTheme="minorHAnsi" w:cs="Arial"/>
                <w:b w:val="0"/>
                <w:color w:val="000000" w:themeColor="text1"/>
                <w:sz w:val="20"/>
              </w:rPr>
              <w:t xml:space="preserve"> &amp; positioning of the effort</w:t>
            </w:r>
          </w:p>
        </w:tc>
        <w:tc>
          <w:tcPr>
            <w:tcW w:w="3186" w:type="dxa"/>
          </w:tcPr>
          <w:p w:rsidR="006B529E" w:rsidRPr="003C4048" w:rsidRDefault="009564F8" w:rsidP="006B529E">
            <w:pPr>
              <w:pStyle w:val="ListParagraph"/>
              <w:numPr>
                <w:ilvl w:val="0"/>
                <w:numId w:val="34"/>
              </w:numPr>
              <w:cnfStyle w:val="000000000000"/>
              <w:rPr>
                <w:rFonts w:asciiTheme="minorHAnsi" w:hAnsiTheme="minorHAnsi"/>
                <w:sz w:val="20"/>
              </w:rPr>
            </w:pPr>
            <w:r w:rsidRPr="003C4048">
              <w:rPr>
                <w:rFonts w:asciiTheme="minorHAnsi" w:hAnsiTheme="minorHAnsi" w:cs="Arial"/>
                <w:color w:val="000000" w:themeColor="text1"/>
                <w:sz w:val="20"/>
              </w:rPr>
              <w:t>Mike Atkin: We need a mechanism to make decisions, governance process and oversight of the standard</w:t>
            </w:r>
            <w:r w:rsidR="006B529E" w:rsidRPr="003C4048">
              <w:rPr>
                <w:rFonts w:asciiTheme="minorHAnsi" w:hAnsiTheme="minorHAnsi" w:cs="Arial"/>
                <w:color w:val="000000" w:themeColor="text1"/>
                <w:sz w:val="20"/>
              </w:rPr>
              <w:t xml:space="preserve">. Identify </w:t>
            </w:r>
            <w:r w:rsidR="006B529E" w:rsidRPr="003C4048">
              <w:rPr>
                <w:rFonts w:asciiTheme="minorHAnsi" w:hAnsiTheme="minorHAnsi"/>
                <w:sz w:val="20"/>
              </w:rPr>
              <w:t>Process, policies and procedures that exist within OMG (how we work within the OMG environment) including any processes that already exist to align standard with regulatory requirements</w:t>
            </w:r>
          </w:p>
          <w:p w:rsidR="006B529E" w:rsidRPr="003C4048" w:rsidRDefault="006B529E" w:rsidP="006B529E">
            <w:pPr>
              <w:pStyle w:val="ListParagraph"/>
              <w:numPr>
                <w:ilvl w:val="1"/>
                <w:numId w:val="34"/>
              </w:numPr>
              <w:spacing w:after="200" w:line="276" w:lineRule="auto"/>
              <w:ind w:left="532" w:hanging="180"/>
              <w:cnfStyle w:val="000000000000"/>
              <w:rPr>
                <w:rFonts w:asciiTheme="minorHAnsi" w:hAnsiTheme="minorHAnsi"/>
                <w:sz w:val="20"/>
              </w:rPr>
            </w:pPr>
            <w:r w:rsidRPr="003C4048">
              <w:rPr>
                <w:rFonts w:asciiTheme="minorHAnsi" w:hAnsiTheme="minorHAnsi"/>
                <w:sz w:val="20"/>
              </w:rPr>
              <w:t>Management of the development process (how work streams are formed, how people participate, how leadership is managed)</w:t>
            </w:r>
          </w:p>
          <w:p w:rsidR="006B529E" w:rsidRPr="003C4048" w:rsidRDefault="006B529E" w:rsidP="006B529E">
            <w:pPr>
              <w:pStyle w:val="ListParagraph"/>
              <w:numPr>
                <w:ilvl w:val="1"/>
                <w:numId w:val="34"/>
              </w:numPr>
              <w:spacing w:after="200" w:line="276" w:lineRule="auto"/>
              <w:ind w:left="532" w:hanging="180"/>
              <w:cnfStyle w:val="000000000000"/>
              <w:rPr>
                <w:rFonts w:asciiTheme="minorHAnsi" w:hAnsiTheme="minorHAnsi"/>
                <w:sz w:val="20"/>
              </w:rPr>
            </w:pPr>
            <w:r w:rsidRPr="003C4048">
              <w:rPr>
                <w:rFonts w:asciiTheme="minorHAnsi" w:hAnsiTheme="minorHAnsi"/>
                <w:sz w:val="20"/>
              </w:rPr>
              <w:t>Development of work plans with time frames for delivery</w:t>
            </w:r>
          </w:p>
          <w:p w:rsidR="006B529E" w:rsidRPr="003C4048" w:rsidRDefault="006B529E" w:rsidP="006B529E">
            <w:pPr>
              <w:pStyle w:val="ListParagraph"/>
              <w:numPr>
                <w:ilvl w:val="1"/>
                <w:numId w:val="34"/>
              </w:numPr>
              <w:spacing w:after="200" w:line="276" w:lineRule="auto"/>
              <w:ind w:left="532" w:hanging="180"/>
              <w:cnfStyle w:val="000000000000"/>
              <w:rPr>
                <w:rFonts w:asciiTheme="minorHAnsi" w:hAnsiTheme="minorHAnsi"/>
                <w:sz w:val="20"/>
              </w:rPr>
            </w:pPr>
            <w:r w:rsidRPr="003C4048">
              <w:rPr>
                <w:rFonts w:asciiTheme="minorHAnsi" w:hAnsiTheme="minorHAnsi"/>
                <w:sz w:val="20"/>
              </w:rPr>
              <w:t>Versioning and control of output of work streams</w:t>
            </w:r>
          </w:p>
          <w:p w:rsidR="006B529E" w:rsidRPr="003C4048" w:rsidRDefault="006B529E" w:rsidP="006B529E">
            <w:pPr>
              <w:pStyle w:val="ListParagraph"/>
              <w:numPr>
                <w:ilvl w:val="1"/>
                <w:numId w:val="34"/>
              </w:numPr>
              <w:spacing w:after="200" w:line="276" w:lineRule="auto"/>
              <w:ind w:left="532" w:hanging="180"/>
              <w:cnfStyle w:val="000000000000"/>
              <w:rPr>
                <w:rFonts w:asciiTheme="minorHAnsi" w:hAnsiTheme="minorHAnsi"/>
                <w:sz w:val="20"/>
              </w:rPr>
            </w:pPr>
            <w:r w:rsidRPr="003C4048">
              <w:rPr>
                <w:rFonts w:asciiTheme="minorHAnsi" w:hAnsiTheme="minorHAnsi"/>
                <w:sz w:val="20"/>
              </w:rPr>
              <w:t>Resourcing strategy (how resources are acquired and funded)</w:t>
            </w:r>
          </w:p>
          <w:p w:rsidR="006B529E" w:rsidRPr="003C4048" w:rsidRDefault="006B529E" w:rsidP="006B529E">
            <w:pPr>
              <w:pStyle w:val="ListParagraph"/>
              <w:numPr>
                <w:ilvl w:val="1"/>
                <w:numId w:val="34"/>
              </w:numPr>
              <w:spacing w:after="200" w:line="276" w:lineRule="auto"/>
              <w:ind w:left="532" w:hanging="180"/>
              <w:cnfStyle w:val="000000000000"/>
              <w:rPr>
                <w:rFonts w:asciiTheme="minorHAnsi" w:hAnsiTheme="minorHAnsi"/>
                <w:sz w:val="20"/>
              </w:rPr>
            </w:pPr>
            <w:r w:rsidRPr="003C4048">
              <w:rPr>
                <w:rFonts w:asciiTheme="minorHAnsi" w:hAnsiTheme="minorHAnsi"/>
                <w:sz w:val="20"/>
              </w:rPr>
              <w:t>Groups liaison (how EDMC/OMG interact with other related groups)</w:t>
            </w:r>
          </w:p>
          <w:p w:rsidR="006B529E" w:rsidRPr="003C4048" w:rsidRDefault="006B529E" w:rsidP="006B529E">
            <w:pPr>
              <w:pStyle w:val="ListParagraph"/>
              <w:numPr>
                <w:ilvl w:val="1"/>
                <w:numId w:val="34"/>
              </w:numPr>
              <w:ind w:left="532" w:hanging="180"/>
              <w:cnfStyle w:val="000000000000"/>
              <w:rPr>
                <w:rFonts w:asciiTheme="minorHAnsi" w:hAnsiTheme="minorHAnsi"/>
                <w:sz w:val="20"/>
              </w:rPr>
            </w:pPr>
            <w:r w:rsidRPr="003C4048">
              <w:rPr>
                <w:rFonts w:asciiTheme="minorHAnsi" w:hAnsiTheme="minorHAnsi"/>
                <w:sz w:val="20"/>
              </w:rPr>
              <w:t>Logistics of development (i.e. management of database of engaged individuals, rules for engagement, distribution of materials)</w:t>
            </w:r>
          </w:p>
          <w:p w:rsidR="009564F8" w:rsidRPr="003C4048" w:rsidRDefault="009564F8" w:rsidP="009564F8">
            <w:pPr>
              <w:pStyle w:val="ListParagraph"/>
              <w:numPr>
                <w:ilvl w:val="0"/>
                <w:numId w:val="28"/>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Donald Chapin shared some of the RFC related Policies and Procedures</w:t>
            </w:r>
          </w:p>
          <w:p w:rsidR="008F7277" w:rsidRPr="003C4048" w:rsidRDefault="008F7277" w:rsidP="009564F8">
            <w:pPr>
              <w:pStyle w:val="ListParagraph"/>
              <w:numPr>
                <w:ilvl w:val="0"/>
                <w:numId w:val="28"/>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Mike Bennett: We also need to add name space management discussions that might need different time slots for calls</w:t>
            </w:r>
          </w:p>
          <w:p w:rsidR="00F54881" w:rsidRPr="003C4048" w:rsidRDefault="00F54881" w:rsidP="00F54881">
            <w:p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Mike Atkin: Define how we define, validate and communicate the objectives of the initiative</w:t>
            </w:r>
          </w:p>
          <w:p w:rsidR="00F54881" w:rsidRPr="003C4048" w:rsidRDefault="00F54881" w:rsidP="00F54881">
            <w:pPr>
              <w:tabs>
                <w:tab w:val="left" w:pos="172"/>
              </w:tabs>
              <w:ind w:left="172" w:hanging="172"/>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w:t>
            </w:r>
            <w:r w:rsidRPr="003C4048">
              <w:rPr>
                <w:rFonts w:asciiTheme="minorHAnsi" w:hAnsiTheme="minorHAnsi" w:cs="Arial"/>
                <w:color w:val="000000" w:themeColor="text1"/>
                <w:sz w:val="20"/>
              </w:rPr>
              <w:tab/>
              <w:t>White paper on approach (strategy validation and definition of critical ingredients for success)</w:t>
            </w:r>
          </w:p>
          <w:p w:rsidR="00F54881" w:rsidRPr="003C4048" w:rsidRDefault="00F54881" w:rsidP="00F54881">
            <w:pPr>
              <w:tabs>
                <w:tab w:val="left" w:pos="172"/>
              </w:tabs>
              <w:ind w:left="172" w:hanging="172"/>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w:t>
            </w:r>
            <w:r w:rsidRPr="003C4048">
              <w:rPr>
                <w:rFonts w:asciiTheme="minorHAnsi" w:hAnsiTheme="minorHAnsi" w:cs="Arial"/>
                <w:color w:val="000000" w:themeColor="text1"/>
                <w:sz w:val="20"/>
              </w:rPr>
              <w:tab/>
              <w:t>Business case for the standard (costs and benefits)</w:t>
            </w:r>
          </w:p>
          <w:p w:rsidR="00F54881" w:rsidRPr="003C4048" w:rsidRDefault="00F54881" w:rsidP="00F54881">
            <w:pPr>
              <w:tabs>
                <w:tab w:val="left" w:pos="172"/>
              </w:tabs>
              <w:ind w:left="172" w:hanging="172"/>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w:t>
            </w:r>
            <w:r w:rsidRPr="003C4048">
              <w:rPr>
                <w:rFonts w:asciiTheme="minorHAnsi" w:hAnsiTheme="minorHAnsi" w:cs="Arial"/>
                <w:color w:val="000000" w:themeColor="text1"/>
                <w:sz w:val="20"/>
              </w:rPr>
              <w:tab/>
              <w:t>Relationship to regulatory objectives and how we interact with regulators (requirements capture and validation)</w:t>
            </w:r>
          </w:p>
          <w:p w:rsidR="00F54881" w:rsidRPr="003C4048" w:rsidRDefault="00F54881" w:rsidP="00F54881">
            <w:pPr>
              <w:pStyle w:val="ListParagraph"/>
              <w:numPr>
                <w:ilvl w:val="0"/>
                <w:numId w:val="28"/>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w:t>
            </w:r>
            <w:r w:rsidRPr="003C4048">
              <w:rPr>
                <w:rFonts w:asciiTheme="minorHAnsi" w:hAnsiTheme="minorHAnsi" w:cs="Arial"/>
                <w:color w:val="000000" w:themeColor="text1"/>
                <w:sz w:val="20"/>
              </w:rPr>
              <w:tab/>
              <w:t>Name of standard (and how it is described to full spectrum of stakeholders)</w:t>
            </w:r>
          </w:p>
          <w:p w:rsidR="008F7277" w:rsidRPr="003C4048" w:rsidRDefault="008F7277" w:rsidP="008F7277">
            <w:pPr>
              <w:pStyle w:val="ListParagraph"/>
              <w:ind w:left="611"/>
              <w:cnfStyle w:val="000000000000"/>
              <w:rPr>
                <w:rFonts w:asciiTheme="minorHAnsi" w:hAnsiTheme="minorHAnsi" w:cs="Arial"/>
                <w:color w:val="000000" w:themeColor="text1"/>
                <w:sz w:val="20"/>
              </w:rPr>
            </w:pPr>
          </w:p>
        </w:tc>
        <w:tc>
          <w:tcPr>
            <w:tcW w:w="1527" w:type="dxa"/>
          </w:tcPr>
          <w:p w:rsidR="00CE7440" w:rsidRPr="003C4048" w:rsidRDefault="00CE7440" w:rsidP="0032437D">
            <w:pPr>
              <w:cnfStyle w:val="000000000000"/>
              <w:rPr>
                <w:rFonts w:asciiTheme="minorHAnsi" w:hAnsiTheme="minorHAnsi" w:cs="Arial"/>
                <w:color w:val="000000" w:themeColor="text1"/>
                <w:sz w:val="20"/>
              </w:rPr>
            </w:pPr>
          </w:p>
        </w:tc>
        <w:tc>
          <w:tcPr>
            <w:tcW w:w="2748" w:type="dxa"/>
          </w:tcPr>
          <w:p w:rsidR="00CE7440" w:rsidRPr="003C4048" w:rsidRDefault="009564F8" w:rsidP="008F7277">
            <w:pPr>
              <w:pStyle w:val="ListParagraph"/>
              <w:numPr>
                <w:ilvl w:val="0"/>
                <w:numId w:val="28"/>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 xml:space="preserve">Donald Chapin offered to help </w:t>
            </w:r>
            <w:r w:rsidR="008F7277" w:rsidRPr="003C4048">
              <w:rPr>
                <w:rFonts w:asciiTheme="minorHAnsi" w:hAnsiTheme="minorHAnsi" w:cs="Arial"/>
                <w:color w:val="000000" w:themeColor="text1"/>
                <w:sz w:val="20"/>
              </w:rPr>
              <w:t>navigate the OMG governance process suitable for this standard</w:t>
            </w:r>
          </w:p>
          <w:p w:rsidR="008F7277" w:rsidRPr="003C4048" w:rsidRDefault="008F7277" w:rsidP="008F7277">
            <w:pPr>
              <w:pStyle w:val="ListParagraph"/>
              <w:numPr>
                <w:ilvl w:val="0"/>
                <w:numId w:val="28"/>
              </w:numPr>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Mike Atkin: We need to do the following:</w:t>
            </w:r>
          </w:p>
          <w:p w:rsidR="008F7277" w:rsidRPr="003C4048" w:rsidRDefault="008F7277" w:rsidP="008F7277">
            <w:pPr>
              <w:pStyle w:val="ListParagraph"/>
              <w:numPr>
                <w:ilvl w:val="1"/>
                <w:numId w:val="28"/>
              </w:numPr>
              <w:ind w:left="611" w:hanging="270"/>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Completion of the content of semantic repository</w:t>
            </w:r>
          </w:p>
          <w:p w:rsidR="008F7277" w:rsidRPr="003C4048" w:rsidRDefault="008F7277" w:rsidP="008F7277">
            <w:pPr>
              <w:pStyle w:val="ListParagraph"/>
              <w:numPr>
                <w:ilvl w:val="1"/>
                <w:numId w:val="28"/>
              </w:numPr>
              <w:ind w:left="611" w:hanging="270"/>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Validation under OMG process</w:t>
            </w:r>
          </w:p>
          <w:p w:rsidR="008F7277" w:rsidRPr="003C4048" w:rsidRDefault="008F7277" w:rsidP="008F7277">
            <w:pPr>
              <w:pStyle w:val="ListParagraph"/>
              <w:numPr>
                <w:ilvl w:val="1"/>
                <w:numId w:val="28"/>
              </w:numPr>
              <w:ind w:left="611" w:hanging="270"/>
              <w:cnfStyle w:val="000000000000"/>
              <w:rPr>
                <w:rFonts w:asciiTheme="minorHAnsi" w:hAnsiTheme="minorHAnsi" w:cs="Arial"/>
                <w:color w:val="000000" w:themeColor="text1"/>
                <w:sz w:val="20"/>
              </w:rPr>
            </w:pPr>
            <w:r w:rsidRPr="003C4048">
              <w:rPr>
                <w:rFonts w:asciiTheme="minorHAnsi" w:hAnsiTheme="minorHAnsi" w:cs="Arial"/>
                <w:color w:val="000000" w:themeColor="text1"/>
                <w:sz w:val="20"/>
              </w:rPr>
              <w:t>Documentation, Adoption and release management</w:t>
            </w:r>
          </w:p>
          <w:p w:rsidR="008F7277" w:rsidRPr="003C4048" w:rsidRDefault="008F7277" w:rsidP="0032437D">
            <w:pPr>
              <w:cnfStyle w:val="000000000000"/>
              <w:rPr>
                <w:rFonts w:asciiTheme="minorHAnsi" w:hAnsiTheme="minorHAnsi" w:cs="Arial"/>
                <w:color w:val="000000" w:themeColor="text1"/>
                <w:sz w:val="20"/>
              </w:rPr>
            </w:pPr>
          </w:p>
        </w:tc>
        <w:tc>
          <w:tcPr>
            <w:tcW w:w="1747" w:type="dxa"/>
          </w:tcPr>
          <w:p w:rsidR="00CE7440" w:rsidRPr="003C4048" w:rsidRDefault="00CE7440" w:rsidP="0032437D">
            <w:pPr>
              <w:cnfStyle w:val="000000000000"/>
              <w:rPr>
                <w:rFonts w:asciiTheme="minorHAnsi" w:hAnsiTheme="minorHAnsi" w:cs="Arial"/>
                <w:color w:val="000000" w:themeColor="text1"/>
                <w:sz w:val="20"/>
              </w:rPr>
            </w:pPr>
          </w:p>
        </w:tc>
      </w:tr>
      <w:tr w:rsidR="00F54881" w:rsidRPr="003C4048" w:rsidTr="00F54881">
        <w:trPr>
          <w:cnfStyle w:val="000000100000"/>
        </w:trPr>
        <w:tc>
          <w:tcPr>
            <w:cnfStyle w:val="001000000000"/>
            <w:tcW w:w="11016" w:type="dxa"/>
            <w:gridSpan w:val="5"/>
          </w:tcPr>
          <w:p w:rsidR="00F54881" w:rsidRPr="003C4048" w:rsidRDefault="00F54881" w:rsidP="00F54881">
            <w:pPr>
              <w:jc w:val="center"/>
              <w:rPr>
                <w:rFonts w:asciiTheme="minorHAnsi" w:hAnsiTheme="minorHAnsi" w:cs="Arial"/>
                <w:b w:val="0"/>
                <w:color w:val="000000" w:themeColor="text1"/>
                <w:sz w:val="20"/>
              </w:rPr>
            </w:pPr>
            <w:r w:rsidRPr="003C4048">
              <w:rPr>
                <w:rFonts w:asciiTheme="minorHAnsi" w:hAnsiTheme="minorHAnsi" w:cs="Arial"/>
                <w:b w:val="0"/>
                <w:color w:val="000000" w:themeColor="text1"/>
                <w:sz w:val="20"/>
              </w:rPr>
              <w:t>Meeting adjourned at 1.10 PM US EDT</w:t>
            </w:r>
          </w:p>
        </w:tc>
      </w:tr>
    </w:tbl>
    <w:p w:rsidR="000270A6" w:rsidRPr="000270A6" w:rsidRDefault="000270A6" w:rsidP="00F54881">
      <w:pPr>
        <w:pStyle w:val="Header"/>
        <w:tabs>
          <w:tab w:val="clear" w:pos="4320"/>
          <w:tab w:val="clear" w:pos="8640"/>
        </w:tabs>
        <w:ind w:left="360"/>
        <w:rPr>
          <w:rFonts w:asciiTheme="minorHAnsi" w:hAnsiTheme="minorHAnsi" w:cs="Arial"/>
          <w:bCs/>
          <w:sz w:val="20"/>
        </w:rPr>
      </w:pPr>
    </w:p>
    <w:sectPr w:rsidR="000270A6" w:rsidRPr="000270A6" w:rsidSect="008F7277">
      <w:headerReference w:type="default" r:id="rId13"/>
      <w:footerReference w:type="default" r:id="rId14"/>
      <w:pgSz w:w="12240" w:h="15840" w:code="1"/>
      <w:pgMar w:top="720" w:right="360" w:bottom="720" w:left="36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881" w:rsidRDefault="00F54881">
      <w:r>
        <w:separator/>
      </w:r>
    </w:p>
  </w:endnote>
  <w:endnote w:type="continuationSeparator" w:id="0">
    <w:p w:rsidR="00F54881" w:rsidRDefault="00F548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968"/>
      <w:docPartObj>
        <w:docPartGallery w:val="Page Numbers (Bottom of Page)"/>
        <w:docPartUnique/>
      </w:docPartObj>
    </w:sdtPr>
    <w:sdtContent>
      <w:sdt>
        <w:sdtPr>
          <w:id w:val="98381352"/>
          <w:docPartObj>
            <w:docPartGallery w:val="Page Numbers (Top of Page)"/>
            <w:docPartUnique/>
          </w:docPartObj>
        </w:sdtPr>
        <w:sdtContent>
          <w:p w:rsidR="00F54881" w:rsidRDefault="00F54881">
            <w:pPr>
              <w:pStyle w:val="Footer"/>
            </w:pPr>
            <w:r>
              <w:t>__________________________________________________________________________________________________</w:t>
            </w:r>
          </w:p>
          <w:p w:rsidR="00F54881" w:rsidRDefault="00F54881">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3C404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C4048">
              <w:rPr>
                <w:b/>
                <w:noProof/>
              </w:rPr>
              <w:t>7</w:t>
            </w:r>
            <w:r>
              <w:rPr>
                <w:b/>
                <w:sz w:val="24"/>
                <w:szCs w:val="24"/>
              </w:rPr>
              <w:fldChar w:fldCharType="end"/>
            </w:r>
            <w:r>
              <w:t xml:space="preserve">                                                                                                                                             4/20/2011    11:07 PM           </w:t>
            </w:r>
          </w:p>
        </w:sdtContent>
      </w:sdt>
    </w:sdtContent>
  </w:sdt>
  <w:p w:rsidR="00F54881" w:rsidRPr="00854508" w:rsidRDefault="00F54881" w:rsidP="00854508">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881" w:rsidRDefault="00F54881">
      <w:r>
        <w:separator/>
      </w:r>
    </w:p>
  </w:footnote>
  <w:footnote w:type="continuationSeparator" w:id="0">
    <w:p w:rsidR="00F54881" w:rsidRDefault="00F54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881" w:rsidRDefault="00F54881" w:rsidP="00CD1EEB">
    <w:pPr>
      <w:pStyle w:val="Header"/>
      <w:jc w:val="right"/>
    </w:pPr>
    <w:r w:rsidRPr="00CD1EEB">
      <w:drawing>
        <wp:anchor distT="0" distB="0" distL="114300" distR="114300" simplePos="0" relativeHeight="251659264" behindDoc="0" locked="0" layoutInCell="1" allowOverlap="1">
          <wp:simplePos x="0" y="0"/>
          <wp:positionH relativeFrom="column">
            <wp:posOffset>1720215</wp:posOffset>
          </wp:positionH>
          <wp:positionV relativeFrom="paragraph">
            <wp:posOffset>85724</wp:posOffset>
          </wp:positionV>
          <wp:extent cx="3924300" cy="257175"/>
          <wp:effectExtent l="19050" t="0" r="0" b="0"/>
          <wp:wrapNone/>
          <wp:docPr id="3" name="Picture 1" descr="http://fdtf.omg.org/images/buttons-icons-lines/finance.gif"/>
          <wp:cNvGraphicFramePr/>
          <a:graphic xmlns:a="http://schemas.openxmlformats.org/drawingml/2006/main">
            <a:graphicData uri="http://schemas.openxmlformats.org/drawingml/2006/picture">
              <pic:pic xmlns:pic="http://schemas.openxmlformats.org/drawingml/2006/picture">
                <pic:nvPicPr>
                  <pic:cNvPr id="10" name="Picture 4" descr="http://fdtf.omg.org/images/buttons-icons-lines/finance.gif"/>
                  <pic:cNvPicPr>
                    <a:picLocks noChangeAspect="1" noChangeArrowheads="1"/>
                  </pic:cNvPicPr>
                </pic:nvPicPr>
                <pic:blipFill>
                  <a:blip r:embed="rId1" cstate="print"/>
                  <a:srcRect/>
                  <a:stretch>
                    <a:fillRect/>
                  </a:stretch>
                </pic:blipFill>
                <pic:spPr bwMode="auto">
                  <a:xfrm>
                    <a:off x="0" y="0"/>
                    <a:ext cx="3924300" cy="257175"/>
                  </a:xfrm>
                  <a:prstGeom prst="rect">
                    <a:avLst/>
                  </a:prstGeom>
                  <a:noFill/>
                </pic:spPr>
              </pic:pic>
            </a:graphicData>
          </a:graphic>
        </wp:anchor>
      </w:drawing>
    </w:r>
    <w:r>
      <w:rPr>
        <w:noProof/>
        <w:color w:val="0000FF"/>
      </w:rPr>
      <w:drawing>
        <wp:anchor distT="0" distB="0" distL="114300" distR="114300" simplePos="0" relativeHeight="251658240" behindDoc="0" locked="0" layoutInCell="1" allowOverlap="1">
          <wp:simplePos x="0" y="0"/>
          <wp:positionH relativeFrom="column">
            <wp:posOffset>-13335</wp:posOffset>
          </wp:positionH>
          <wp:positionV relativeFrom="paragraph">
            <wp:posOffset>0</wp:posOffset>
          </wp:positionV>
          <wp:extent cx="1219200" cy="533400"/>
          <wp:effectExtent l="19050" t="0" r="0" b="0"/>
          <wp:wrapNone/>
          <wp:docPr id="2" name="Picture 1" descr="http://www.omg.org/images/logos/omg-top-border.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mg.org/images/logos/omg-top-border.gif">
                    <a:hlinkClick r:id="rId2"/>
                  </pic:cNvPr>
                  <pic:cNvPicPr>
                    <a:picLocks noChangeAspect="1" noChangeArrowheads="1"/>
                  </pic:cNvPicPr>
                </pic:nvPicPr>
                <pic:blipFill>
                  <a:blip r:embed="rId3"/>
                  <a:srcRect/>
                  <a:stretch>
                    <a:fillRect/>
                  </a:stretch>
                </pic:blipFill>
                <pic:spPr bwMode="auto">
                  <a:xfrm>
                    <a:off x="0" y="0"/>
                    <a:ext cx="1219200" cy="533400"/>
                  </a:xfrm>
                  <a:prstGeom prst="rect">
                    <a:avLst/>
                  </a:prstGeom>
                  <a:noFill/>
                  <a:ln w="9525">
                    <a:noFill/>
                    <a:miter lim="800000"/>
                    <a:headEnd/>
                    <a:tailEnd/>
                  </a:ln>
                </pic:spPr>
              </pic:pic>
            </a:graphicData>
          </a:graphic>
        </wp:anchor>
      </w:drawing>
    </w:r>
    <w:r>
      <w:rPr>
        <w:noProof/>
      </w:rPr>
      <w:drawing>
        <wp:inline distT="0" distB="0" distL="0" distR="0">
          <wp:extent cx="914400" cy="499672"/>
          <wp:effectExtent l="19050" t="0" r="0" b="0"/>
          <wp:docPr id="4" name="Picture 4" descr="http://www.omgwiki.org/OMG-FDTF/lib/tpl/defaul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mgwiki.org/OMG-FDTF/lib/tpl/default/logo.jpg"/>
                  <pic:cNvPicPr>
                    <a:picLocks noChangeAspect="1" noChangeArrowheads="1"/>
                  </pic:cNvPicPr>
                </pic:nvPicPr>
                <pic:blipFill>
                  <a:blip r:embed="rId4"/>
                  <a:srcRect/>
                  <a:stretch>
                    <a:fillRect/>
                  </a:stretch>
                </pic:blipFill>
                <pic:spPr bwMode="auto">
                  <a:xfrm>
                    <a:off x="0" y="0"/>
                    <a:ext cx="914400" cy="499672"/>
                  </a:xfrm>
                  <a:prstGeom prst="rect">
                    <a:avLst/>
                  </a:prstGeom>
                  <a:noFill/>
                  <a:ln w="9525">
                    <a:noFill/>
                    <a:miter lim="800000"/>
                    <a:headEnd/>
                    <a:tailEnd/>
                  </a:ln>
                </pic:spPr>
              </pic:pic>
            </a:graphicData>
          </a:graphic>
        </wp:inline>
      </w:drawing>
    </w:r>
  </w:p>
  <w:p w:rsidR="00F54881" w:rsidRPr="00347893" w:rsidRDefault="00F54881" w:rsidP="00CD1EEB">
    <w:pPr>
      <w:pStyle w:val="Header"/>
      <w:jc w:val="right"/>
      <w:rPr>
        <w:color w:val="548DD4" w:themeColor="text2" w:themeTint="99"/>
      </w:rPr>
    </w:pPr>
    <w:r w:rsidRPr="00347893">
      <w:rPr>
        <w:color w:val="548DD4" w:themeColor="text2" w:themeTint="99"/>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2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1530EF"/>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76C58B0"/>
    <w:multiLevelType w:val="hybridMultilevel"/>
    <w:tmpl w:val="1CCE7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E52F74"/>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E97679E"/>
    <w:multiLevelType w:val="hybridMultilevel"/>
    <w:tmpl w:val="64245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A55E54"/>
    <w:multiLevelType w:val="hybridMultilevel"/>
    <w:tmpl w:val="7CFA238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2B6FF2"/>
    <w:multiLevelType w:val="hybridMultilevel"/>
    <w:tmpl w:val="AE78B46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06046B"/>
    <w:multiLevelType w:val="hybridMultilevel"/>
    <w:tmpl w:val="6CCE9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D3078C"/>
    <w:multiLevelType w:val="hybridMultilevel"/>
    <w:tmpl w:val="8A0EE43E"/>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246D247F"/>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705153D"/>
    <w:multiLevelType w:val="multilevel"/>
    <w:tmpl w:val="8A0EE43E"/>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27B2238D"/>
    <w:multiLevelType w:val="hybridMultilevel"/>
    <w:tmpl w:val="87D2125E"/>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ED0E44"/>
    <w:multiLevelType w:val="hybridMultilevel"/>
    <w:tmpl w:val="FB6290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F96D2C"/>
    <w:multiLevelType w:val="hybridMultilevel"/>
    <w:tmpl w:val="173EF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DA6899"/>
    <w:multiLevelType w:val="hybridMultilevel"/>
    <w:tmpl w:val="F984D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BE1258"/>
    <w:multiLevelType w:val="hybridMultilevel"/>
    <w:tmpl w:val="F0D8446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3A2D00F1"/>
    <w:multiLevelType w:val="hybridMultilevel"/>
    <w:tmpl w:val="49FCC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BC4096"/>
    <w:multiLevelType w:val="multilevel"/>
    <w:tmpl w:val="0409001F"/>
    <w:lvl w:ilvl="0">
      <w:start w:val="1"/>
      <w:numFmt w:val="decimal"/>
      <w:lvlText w:val="%1."/>
      <w:lvlJc w:val="left"/>
      <w:pPr>
        <w:ind w:left="450" w:hanging="360"/>
      </w:pPr>
    </w:lvl>
    <w:lvl w:ilvl="1">
      <w:start w:val="1"/>
      <w:numFmt w:val="decimal"/>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18">
    <w:nsid w:val="412142A0"/>
    <w:multiLevelType w:val="hybridMultilevel"/>
    <w:tmpl w:val="7B90D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EA7D04"/>
    <w:multiLevelType w:val="multilevel"/>
    <w:tmpl w:val="49FCC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EF35AB"/>
    <w:multiLevelType w:val="hybridMultilevel"/>
    <w:tmpl w:val="B31A6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8054A0"/>
    <w:multiLevelType w:val="hybridMultilevel"/>
    <w:tmpl w:val="CCC05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9C5779"/>
    <w:multiLevelType w:val="multilevel"/>
    <w:tmpl w:val="8EC0C25C"/>
    <w:lvl w:ilvl="0">
      <w:start w:val="1"/>
      <w:numFmt w:val="decimal"/>
      <w:lvlText w:val="%1."/>
      <w:lvlJc w:val="left"/>
      <w:pPr>
        <w:ind w:left="45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3">
    <w:nsid w:val="5131787D"/>
    <w:multiLevelType w:val="hybridMultilevel"/>
    <w:tmpl w:val="376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CE20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90F5ACB"/>
    <w:multiLevelType w:val="hybridMultilevel"/>
    <w:tmpl w:val="BB26324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6048E4"/>
    <w:multiLevelType w:val="multilevel"/>
    <w:tmpl w:val="0409001D"/>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7">
    <w:nsid w:val="5E8B3CFB"/>
    <w:multiLevelType w:val="multilevel"/>
    <w:tmpl w:val="3F9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B164B"/>
    <w:multiLevelType w:val="hybridMultilevel"/>
    <w:tmpl w:val="ECAE80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1D203D"/>
    <w:multiLevelType w:val="hybridMultilevel"/>
    <w:tmpl w:val="D2A818B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0">
    <w:nsid w:val="7B82104C"/>
    <w:multiLevelType w:val="hybridMultilevel"/>
    <w:tmpl w:val="D8086B44"/>
    <w:lvl w:ilvl="0" w:tplc="3BDE479A">
      <w:start w:val="1"/>
      <w:numFmt w:val="bullet"/>
      <w:pStyle w:val="ABodyBullet3"/>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AD66FA"/>
    <w:multiLevelType w:val="hybridMultilevel"/>
    <w:tmpl w:val="7FE87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955130"/>
    <w:multiLevelType w:val="hybridMultilevel"/>
    <w:tmpl w:val="A4E44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6"/>
  </w:num>
  <w:num w:numId="3">
    <w:abstractNumId w:val="0"/>
  </w:num>
  <w:num w:numId="4">
    <w:abstractNumId w:val="26"/>
  </w:num>
  <w:num w:numId="5">
    <w:abstractNumId w:val="1"/>
  </w:num>
  <w:num w:numId="6">
    <w:abstractNumId w:val="16"/>
  </w:num>
  <w:num w:numId="7">
    <w:abstractNumId w:val="19"/>
  </w:num>
  <w:num w:numId="8">
    <w:abstractNumId w:val="28"/>
  </w:num>
  <w:num w:numId="9">
    <w:abstractNumId w:val="9"/>
  </w:num>
  <w:num w:numId="10">
    <w:abstractNumId w:val="24"/>
  </w:num>
  <w:num w:numId="11">
    <w:abstractNumId w:val="30"/>
  </w:num>
  <w:num w:numId="12">
    <w:abstractNumId w:val="3"/>
  </w:num>
  <w:num w:numId="13">
    <w:abstractNumId w:val="8"/>
  </w:num>
  <w:num w:numId="14">
    <w:abstractNumId w:val="10"/>
  </w:num>
  <w:num w:numId="15">
    <w:abstractNumId w:val="29"/>
  </w:num>
  <w:num w:numId="16">
    <w:abstractNumId w:val="32"/>
  </w:num>
  <w:num w:numId="17">
    <w:abstractNumId w:val="21"/>
  </w:num>
  <w:num w:numId="18">
    <w:abstractNumId w:val="12"/>
  </w:num>
  <w:num w:numId="19">
    <w:abstractNumId w:val="5"/>
  </w:num>
  <w:num w:numId="20">
    <w:abstractNumId w:val="22"/>
  </w:num>
  <w:num w:numId="21">
    <w:abstractNumId w:val="15"/>
    <w:lvlOverride w:ilvl="0"/>
    <w:lvlOverride w:ilvl="1"/>
    <w:lvlOverride w:ilvl="2"/>
    <w:lvlOverride w:ilvl="3"/>
    <w:lvlOverride w:ilvl="4"/>
    <w:lvlOverride w:ilvl="5"/>
    <w:lvlOverride w:ilvl="6"/>
    <w:lvlOverride w:ilvl="7"/>
    <w:lvlOverride w:ilvl="8"/>
  </w:num>
  <w:num w:numId="22">
    <w:abstractNumId w:val="17"/>
  </w:num>
  <w:num w:numId="23">
    <w:abstractNumId w:val="23"/>
  </w:num>
  <w:num w:numId="24">
    <w:abstractNumId w:val="27"/>
  </w:num>
  <w:num w:numId="25">
    <w:abstractNumId w:val="18"/>
  </w:num>
  <w:num w:numId="26">
    <w:abstractNumId w:val="20"/>
  </w:num>
  <w:num w:numId="27">
    <w:abstractNumId w:val="14"/>
  </w:num>
  <w:num w:numId="28">
    <w:abstractNumId w:val="4"/>
  </w:num>
  <w:num w:numId="29">
    <w:abstractNumId w:val="13"/>
  </w:num>
  <w:num w:numId="30">
    <w:abstractNumId w:val="25"/>
  </w:num>
  <w:num w:numId="31">
    <w:abstractNumId w:val="31"/>
  </w:num>
  <w:num w:numId="32">
    <w:abstractNumId w:val="11"/>
  </w:num>
  <w:num w:numId="33">
    <w:abstractNumId w:val="2"/>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rsids>
    <w:rsidRoot w:val="00A40210"/>
    <w:rsid w:val="000270A6"/>
    <w:rsid w:val="000641E3"/>
    <w:rsid w:val="00076BBC"/>
    <w:rsid w:val="00084848"/>
    <w:rsid w:val="000E6BE4"/>
    <w:rsid w:val="0013323F"/>
    <w:rsid w:val="0018792D"/>
    <w:rsid w:val="00193413"/>
    <w:rsid w:val="001B75AF"/>
    <w:rsid w:val="001C59DE"/>
    <w:rsid w:val="001C7A1F"/>
    <w:rsid w:val="001D6B0D"/>
    <w:rsid w:val="00230E26"/>
    <w:rsid w:val="00236421"/>
    <w:rsid w:val="00250E10"/>
    <w:rsid w:val="00260972"/>
    <w:rsid w:val="00283A8F"/>
    <w:rsid w:val="0032437D"/>
    <w:rsid w:val="00347893"/>
    <w:rsid w:val="003C4048"/>
    <w:rsid w:val="003C7672"/>
    <w:rsid w:val="003D7CAD"/>
    <w:rsid w:val="0041160F"/>
    <w:rsid w:val="00452AFF"/>
    <w:rsid w:val="004B47C6"/>
    <w:rsid w:val="004F1306"/>
    <w:rsid w:val="00504891"/>
    <w:rsid w:val="005D7DBB"/>
    <w:rsid w:val="005F2C60"/>
    <w:rsid w:val="00656F24"/>
    <w:rsid w:val="00665139"/>
    <w:rsid w:val="006B1BAA"/>
    <w:rsid w:val="006B529E"/>
    <w:rsid w:val="006C3607"/>
    <w:rsid w:val="006D2164"/>
    <w:rsid w:val="0070598F"/>
    <w:rsid w:val="00770439"/>
    <w:rsid w:val="00793B2F"/>
    <w:rsid w:val="00832DB8"/>
    <w:rsid w:val="0083496E"/>
    <w:rsid w:val="00841EB3"/>
    <w:rsid w:val="00854508"/>
    <w:rsid w:val="008E43F1"/>
    <w:rsid w:val="008F7277"/>
    <w:rsid w:val="00936FE5"/>
    <w:rsid w:val="00946008"/>
    <w:rsid w:val="009564F8"/>
    <w:rsid w:val="009E5FB9"/>
    <w:rsid w:val="00A01143"/>
    <w:rsid w:val="00A1121F"/>
    <w:rsid w:val="00A266D7"/>
    <w:rsid w:val="00A40210"/>
    <w:rsid w:val="00A80C60"/>
    <w:rsid w:val="00AB0B9E"/>
    <w:rsid w:val="00AB2822"/>
    <w:rsid w:val="00AB41DD"/>
    <w:rsid w:val="00AF32FB"/>
    <w:rsid w:val="00AF4526"/>
    <w:rsid w:val="00AF5B58"/>
    <w:rsid w:val="00B02BFE"/>
    <w:rsid w:val="00B36D98"/>
    <w:rsid w:val="00B77F69"/>
    <w:rsid w:val="00B92C49"/>
    <w:rsid w:val="00B933CC"/>
    <w:rsid w:val="00BB163A"/>
    <w:rsid w:val="00BD19F9"/>
    <w:rsid w:val="00BD5BDF"/>
    <w:rsid w:val="00C91280"/>
    <w:rsid w:val="00CB1417"/>
    <w:rsid w:val="00CD1EEB"/>
    <w:rsid w:val="00CE7440"/>
    <w:rsid w:val="00CF0BF4"/>
    <w:rsid w:val="00D114D4"/>
    <w:rsid w:val="00DB74F3"/>
    <w:rsid w:val="00E05B4A"/>
    <w:rsid w:val="00E8371F"/>
    <w:rsid w:val="00EB1055"/>
    <w:rsid w:val="00EB6B85"/>
    <w:rsid w:val="00EC335C"/>
    <w:rsid w:val="00EC3A1A"/>
    <w:rsid w:val="00F42F25"/>
    <w:rsid w:val="00F54881"/>
    <w:rsid w:val="00F93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92D"/>
    <w:rPr>
      <w:sz w:val="22"/>
    </w:rPr>
  </w:style>
  <w:style w:type="paragraph" w:styleId="Heading1">
    <w:name w:val="heading 1"/>
    <w:basedOn w:val="Normal"/>
    <w:next w:val="Normal"/>
    <w:qFormat/>
    <w:rsid w:val="0018792D"/>
    <w:pPr>
      <w:keepNext/>
      <w:outlineLvl w:val="0"/>
    </w:pPr>
    <w:rPr>
      <w:b/>
      <w:sz w:val="28"/>
    </w:rPr>
  </w:style>
  <w:style w:type="paragraph" w:styleId="Heading2">
    <w:name w:val="heading 2"/>
    <w:basedOn w:val="Normal"/>
    <w:next w:val="Normal"/>
    <w:qFormat/>
    <w:rsid w:val="0018792D"/>
    <w:pPr>
      <w:keepNext/>
      <w:jc w:val="center"/>
      <w:outlineLvl w:val="1"/>
    </w:pPr>
    <w:rPr>
      <w:rFonts w:ascii="Tahoma" w:hAnsi="Tahoma"/>
      <w:b/>
    </w:rPr>
  </w:style>
  <w:style w:type="paragraph" w:styleId="Heading3">
    <w:name w:val="heading 3"/>
    <w:basedOn w:val="Normal"/>
    <w:next w:val="Normal"/>
    <w:qFormat/>
    <w:rsid w:val="0018792D"/>
    <w:pPr>
      <w:keepNext/>
      <w:outlineLvl w:val="2"/>
    </w:pPr>
    <w:rPr>
      <w:rFonts w:ascii="Arial" w:hAnsi="Arial"/>
      <w:snapToGrid w:val="0"/>
      <w:color w:val="000000"/>
      <w:sz w:val="24"/>
    </w:rPr>
  </w:style>
  <w:style w:type="paragraph" w:styleId="Heading4">
    <w:name w:val="heading 4"/>
    <w:basedOn w:val="Normal"/>
    <w:next w:val="Normal"/>
    <w:qFormat/>
    <w:rsid w:val="0018792D"/>
    <w:pPr>
      <w:keepNext/>
      <w:jc w:val="center"/>
      <w:outlineLvl w:val="3"/>
    </w:pPr>
    <w:rPr>
      <w:b/>
      <w:sz w:val="24"/>
    </w:rPr>
  </w:style>
  <w:style w:type="paragraph" w:styleId="Heading5">
    <w:name w:val="heading 5"/>
    <w:basedOn w:val="Normal"/>
    <w:next w:val="Normal"/>
    <w:qFormat/>
    <w:rsid w:val="0018792D"/>
    <w:pPr>
      <w:keepNext/>
      <w:outlineLvl w:val="4"/>
    </w:pPr>
    <w:rPr>
      <w:rFonts w:ascii="Arial" w:hAnsi="Arial"/>
      <w:snapToGrid w:val="0"/>
      <w:color w:val="FF0000"/>
      <w:sz w:val="24"/>
    </w:rPr>
  </w:style>
  <w:style w:type="paragraph" w:styleId="Heading6">
    <w:name w:val="heading 6"/>
    <w:basedOn w:val="Normal"/>
    <w:next w:val="Normal"/>
    <w:qFormat/>
    <w:rsid w:val="0018792D"/>
    <w:pPr>
      <w:keepNext/>
      <w:outlineLvl w:val="5"/>
    </w:pPr>
    <w:rPr>
      <w:rFonts w:ascii="Arial" w:hAnsi="Arial"/>
      <w:snapToGrid w:val="0"/>
      <w:sz w:val="24"/>
    </w:rPr>
  </w:style>
  <w:style w:type="paragraph" w:styleId="Heading7">
    <w:name w:val="heading 7"/>
    <w:basedOn w:val="Normal"/>
    <w:next w:val="Normal"/>
    <w:qFormat/>
    <w:rsid w:val="0018792D"/>
    <w:pPr>
      <w:keepNext/>
      <w:outlineLvl w:val="6"/>
    </w:pPr>
    <w:rPr>
      <w:b/>
      <w:snapToGrid w:val="0"/>
      <w:color w:val="000000"/>
    </w:rPr>
  </w:style>
  <w:style w:type="paragraph" w:styleId="Heading8">
    <w:name w:val="heading 8"/>
    <w:basedOn w:val="Normal"/>
    <w:next w:val="Normal"/>
    <w:qFormat/>
    <w:rsid w:val="0018792D"/>
    <w:pPr>
      <w:keepNext/>
      <w:jc w:val="center"/>
      <w:outlineLvl w:val="7"/>
    </w:pPr>
    <w:rPr>
      <w:rFonts w:ascii="Arial" w:hAnsi="Arial"/>
      <w:b/>
      <w:snapToGrid w:val="0"/>
      <w:color w:val="000000"/>
      <w:sz w:val="14"/>
    </w:rPr>
  </w:style>
  <w:style w:type="paragraph" w:styleId="Heading9">
    <w:name w:val="heading 9"/>
    <w:basedOn w:val="Normal"/>
    <w:next w:val="Normal"/>
    <w:qFormat/>
    <w:rsid w:val="0018792D"/>
    <w:pPr>
      <w:keepNext/>
      <w:jc w:val="center"/>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792D"/>
    <w:pPr>
      <w:tabs>
        <w:tab w:val="center" w:pos="4320"/>
        <w:tab w:val="right" w:pos="8640"/>
      </w:tabs>
    </w:pPr>
  </w:style>
  <w:style w:type="paragraph" w:styleId="BodyText">
    <w:name w:val="Body Text"/>
    <w:basedOn w:val="Normal"/>
    <w:rsid w:val="0018792D"/>
    <w:pPr>
      <w:jc w:val="center"/>
    </w:pPr>
    <w:rPr>
      <w:rFonts w:ascii="Tahoma" w:hAnsi="Tahoma"/>
      <w:b/>
      <w:sz w:val="24"/>
    </w:rPr>
  </w:style>
  <w:style w:type="paragraph" w:styleId="BodyText2">
    <w:name w:val="Body Text 2"/>
    <w:basedOn w:val="Normal"/>
    <w:rsid w:val="0018792D"/>
    <w:rPr>
      <w:rFonts w:ascii="Tahoma" w:hAnsi="Tahoma"/>
      <w:snapToGrid w:val="0"/>
      <w:color w:val="000000"/>
      <w:sz w:val="16"/>
    </w:rPr>
  </w:style>
  <w:style w:type="paragraph" w:styleId="Footer">
    <w:name w:val="footer"/>
    <w:basedOn w:val="Normal"/>
    <w:link w:val="FooterChar"/>
    <w:uiPriority w:val="99"/>
    <w:rsid w:val="0018792D"/>
    <w:pPr>
      <w:tabs>
        <w:tab w:val="center" w:pos="4320"/>
        <w:tab w:val="right" w:pos="8640"/>
      </w:tabs>
    </w:pPr>
  </w:style>
  <w:style w:type="character" w:styleId="PageNumber">
    <w:name w:val="page number"/>
    <w:basedOn w:val="DefaultParagraphFont"/>
    <w:rsid w:val="0018792D"/>
  </w:style>
  <w:style w:type="paragraph" w:styleId="FootnoteText">
    <w:name w:val="footnote text"/>
    <w:basedOn w:val="Normal"/>
    <w:semiHidden/>
    <w:rsid w:val="0018792D"/>
    <w:rPr>
      <w:rFonts w:ascii="Garamond" w:hAnsi="Garamond"/>
    </w:rPr>
  </w:style>
  <w:style w:type="paragraph" w:customStyle="1" w:styleId="ABodyBullet3">
    <w:name w:val="A_Body Bullet 3"/>
    <w:basedOn w:val="Normal"/>
    <w:rsid w:val="0018792D"/>
    <w:pPr>
      <w:numPr>
        <w:numId w:val="1"/>
      </w:numPr>
    </w:pPr>
  </w:style>
  <w:style w:type="paragraph" w:styleId="BodyTextIndent">
    <w:name w:val="Body Text Indent"/>
    <w:basedOn w:val="Normal"/>
    <w:rsid w:val="0018792D"/>
    <w:pPr>
      <w:autoSpaceDE w:val="0"/>
      <w:autoSpaceDN w:val="0"/>
      <w:adjustRightInd w:val="0"/>
      <w:ind w:left="1080"/>
    </w:pPr>
  </w:style>
  <w:style w:type="table" w:styleId="TableGrid">
    <w:name w:val="Table Grid"/>
    <w:basedOn w:val="TableNormal"/>
    <w:rsid w:val="00793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2C60"/>
    <w:rPr>
      <w:rFonts w:ascii="Tahoma" w:hAnsi="Tahoma" w:cs="Tahoma"/>
      <w:sz w:val="16"/>
      <w:szCs w:val="16"/>
    </w:rPr>
  </w:style>
  <w:style w:type="character" w:customStyle="1" w:styleId="BalloonTextChar">
    <w:name w:val="Balloon Text Char"/>
    <w:basedOn w:val="DefaultParagraphFont"/>
    <w:link w:val="BalloonText"/>
    <w:rsid w:val="005F2C60"/>
    <w:rPr>
      <w:rFonts w:ascii="Tahoma" w:hAnsi="Tahoma" w:cs="Tahoma"/>
      <w:sz w:val="16"/>
      <w:szCs w:val="16"/>
    </w:rPr>
  </w:style>
  <w:style w:type="character" w:customStyle="1" w:styleId="FooterChar">
    <w:name w:val="Footer Char"/>
    <w:basedOn w:val="DefaultParagraphFont"/>
    <w:link w:val="Footer"/>
    <w:uiPriority w:val="99"/>
    <w:rsid w:val="00CD1EEB"/>
    <w:rPr>
      <w:sz w:val="22"/>
    </w:rPr>
  </w:style>
  <w:style w:type="paragraph" w:styleId="PlainText">
    <w:name w:val="Plain Text"/>
    <w:basedOn w:val="Normal"/>
    <w:link w:val="PlainTextChar"/>
    <w:uiPriority w:val="99"/>
    <w:unhideWhenUsed/>
    <w:rsid w:val="000270A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270A6"/>
    <w:rPr>
      <w:rFonts w:ascii="Consolas" w:eastAsiaTheme="minorHAnsi" w:hAnsi="Consolas" w:cstheme="minorBidi"/>
      <w:sz w:val="21"/>
      <w:szCs w:val="21"/>
    </w:rPr>
  </w:style>
  <w:style w:type="table" w:styleId="LightList-Accent5">
    <w:name w:val="Light List Accent 5"/>
    <w:basedOn w:val="TableNormal"/>
    <w:uiPriority w:val="61"/>
    <w:rsid w:val="00CE744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854508"/>
    <w:pPr>
      <w:ind w:left="720"/>
      <w:contextualSpacing/>
    </w:pPr>
  </w:style>
  <w:style w:type="character" w:styleId="Hyperlink">
    <w:name w:val="Hyperlink"/>
    <w:basedOn w:val="DefaultParagraphFont"/>
    <w:uiPriority w:val="99"/>
    <w:unhideWhenUsed/>
    <w:rsid w:val="00347893"/>
    <w:rPr>
      <w:color w:val="0000FF"/>
      <w:u w:val="single"/>
    </w:rPr>
  </w:style>
</w:styles>
</file>

<file path=word/webSettings.xml><?xml version="1.0" encoding="utf-8"?>
<w:webSettings xmlns:r="http://schemas.openxmlformats.org/officeDocument/2006/relationships" xmlns:w="http://schemas.openxmlformats.org/wordprocessingml/2006/main">
  <w:divs>
    <w:div w:id="635992751">
      <w:bodyDiv w:val="1"/>
      <w:marLeft w:val="0"/>
      <w:marRight w:val="0"/>
      <w:marTop w:val="0"/>
      <w:marBottom w:val="0"/>
      <w:divBdr>
        <w:top w:val="none" w:sz="0" w:space="0" w:color="auto"/>
        <w:left w:val="none" w:sz="0" w:space="0" w:color="auto"/>
        <w:bottom w:val="none" w:sz="0" w:space="0" w:color="auto"/>
        <w:right w:val="none" w:sz="0" w:space="0" w:color="auto"/>
      </w:divBdr>
    </w:div>
    <w:div w:id="732897979">
      <w:bodyDiv w:val="1"/>
      <w:marLeft w:val="0"/>
      <w:marRight w:val="0"/>
      <w:marTop w:val="0"/>
      <w:marBottom w:val="0"/>
      <w:divBdr>
        <w:top w:val="none" w:sz="0" w:space="0" w:color="auto"/>
        <w:left w:val="none" w:sz="0" w:space="0" w:color="auto"/>
        <w:bottom w:val="none" w:sz="0" w:space="0" w:color="auto"/>
        <w:right w:val="none" w:sz="0" w:space="0" w:color="auto"/>
      </w:divBdr>
      <w:divsChild>
        <w:div w:id="298535512">
          <w:marLeft w:val="0"/>
          <w:marRight w:val="0"/>
          <w:marTop w:val="0"/>
          <w:marBottom w:val="0"/>
          <w:divBdr>
            <w:top w:val="none" w:sz="0" w:space="0" w:color="auto"/>
            <w:left w:val="none" w:sz="0" w:space="0" w:color="auto"/>
            <w:bottom w:val="none" w:sz="0" w:space="0" w:color="auto"/>
            <w:right w:val="none" w:sz="0" w:space="0" w:color="auto"/>
          </w:divBdr>
          <w:divsChild>
            <w:div w:id="456722663">
              <w:marLeft w:val="0"/>
              <w:marRight w:val="0"/>
              <w:marTop w:val="0"/>
              <w:marBottom w:val="0"/>
              <w:divBdr>
                <w:top w:val="none" w:sz="0" w:space="0" w:color="auto"/>
                <w:left w:val="none" w:sz="0" w:space="0" w:color="auto"/>
                <w:bottom w:val="none" w:sz="0" w:space="0" w:color="auto"/>
                <w:right w:val="none" w:sz="0" w:space="0" w:color="auto"/>
              </w:divBdr>
              <w:divsChild>
                <w:div w:id="1346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8296">
      <w:bodyDiv w:val="1"/>
      <w:marLeft w:val="0"/>
      <w:marRight w:val="0"/>
      <w:marTop w:val="0"/>
      <w:marBottom w:val="0"/>
      <w:divBdr>
        <w:top w:val="none" w:sz="0" w:space="0" w:color="auto"/>
        <w:left w:val="none" w:sz="0" w:space="0" w:color="auto"/>
        <w:bottom w:val="none" w:sz="0" w:space="0" w:color="auto"/>
        <w:right w:val="none" w:sz="0" w:space="0" w:color="auto"/>
      </w:divBdr>
    </w:div>
    <w:div w:id="10693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mments.cftc.gov/PublicComments/ViewComment.aspx?id=26952&amp;SearchTex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mgwiki.org/OMG-FDTF/lib/exe/fetch.php?media=omg-edmc_standard_call_-_april_13_2011_v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omg.org/" TargetMode="External"/><Relationship Id="rId1" Type="http://schemas.openxmlformats.org/officeDocument/2006/relationships/image" Target="media/image1.gif"/><Relationship Id="rId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75550F"/>
    <w:rsid w:val="00755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FE060B452B41C6A3D177A8251573AB">
    <w:name w:val="F7FE060B452B41C6A3D177A8251573AB"/>
    <w:rsid w:val="0075550F"/>
  </w:style>
  <w:style w:type="paragraph" w:customStyle="1" w:styleId="993BDB3E80614728BC40C9131DFD609A">
    <w:name w:val="993BDB3E80614728BC40C9131DFD609A"/>
    <w:rsid w:val="0075550F"/>
  </w:style>
  <w:style w:type="paragraph" w:customStyle="1" w:styleId="06AFA0FD8EBD48F4A93B76DDE1158559">
    <w:name w:val="06AFA0FD8EBD48F4A93B76DDE1158559"/>
    <w:rsid w:val="0075550F"/>
  </w:style>
  <w:style w:type="paragraph" w:customStyle="1" w:styleId="AF9389D32AF44CA58487CBD9420EFCA5">
    <w:name w:val="AF9389D32AF44CA58487CBD9420EFCA5"/>
    <w:rsid w:val="0075550F"/>
  </w:style>
  <w:style w:type="paragraph" w:customStyle="1" w:styleId="6CB1F332FCDC4624A9C1EE3700010A11">
    <w:name w:val="6CB1F332FCDC4624A9C1EE3700010A11"/>
    <w:rsid w:val="0075550F"/>
  </w:style>
  <w:style w:type="paragraph" w:customStyle="1" w:styleId="B504AC02D80F43CFAEAEB15A09CDB943">
    <w:name w:val="B504AC02D80F43CFAEAEB15A09CDB943"/>
    <w:rsid w:val="007555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ocument_x0020_Status xmlns="116c0ff8-cfa5-4e39-8bf7-4530687bceac">Active</Document_x0020_Status>
    <DSO_x0020_Project xmlns="3dd42efe-f980-4d13-ae0a-1f5ebfb51d7c">Dodd-Frank Impact Assessment</DSO_x0020_Project>
    <Approval xmlns="5b7b6afe-b3be-43de-b0c2-fcf1a0c330be">false</Approval>
    <PMO_x0020_Deliverable_x0020_Type xmlns="5b7b6afe-b3be-43de-b0c2-fcf1a0c330be">Meeting Minutes</PMO_x0020_Deliverable_x0020_Type>
    <DQ_x0020_Program xmlns="116c0ff8-cfa5-4e39-8bf7-4530687bceac">02.  Dodd-Frank Impact Assessment</DQ_x0020_Program>
  </documentManagement>
</p:properties>
</file>

<file path=customXml/item4.xml><?xml version="1.0" encoding="utf-8"?>
<ct:contentTypeSchema xmlns:ct="http://schemas.microsoft.com/office/2006/metadata/contentType" xmlns:ma="http://schemas.microsoft.com/office/2006/metadata/properties/metaAttributes" ct:_="" ma:_="" ma:contentTypeName="Project Management Deliverable" ma:contentTypeID="0x010100CF2FE80236DD644D80CC92DFFE73E0790062963A84445B594884EE179226DD91E7" ma:contentTypeVersion="10" ma:contentTypeDescription="" ma:contentTypeScope="" ma:versionID="a93e2b554d8407aca88a561c3187ea79">
  <xsd:schema xmlns:xsd="http://www.w3.org/2001/XMLSchema" xmlns:p="http://schemas.microsoft.com/office/2006/metadata/properties" xmlns:ns2="5b7b6afe-b3be-43de-b0c2-fcf1a0c330be" xmlns:ns3="3dd42efe-f980-4d13-ae0a-1f5ebfb51d7c" xmlns:ns4="116c0ff8-cfa5-4e39-8bf7-4530687bceac" targetNamespace="http://schemas.microsoft.com/office/2006/metadata/properties" ma:root="true" ma:fieldsID="f8797f381c5cfad51e21787dcba39d52" ns2:_="" ns3:_="" ns4:_="">
    <xsd:import namespace="5b7b6afe-b3be-43de-b0c2-fcf1a0c330be"/>
    <xsd:import namespace="3dd42efe-f980-4d13-ae0a-1f5ebfb51d7c"/>
    <xsd:import namespace="116c0ff8-cfa5-4e39-8bf7-4530687bceac"/>
    <xsd:element name="properties">
      <xsd:complexType>
        <xsd:sequence>
          <xsd:element name="documentManagement">
            <xsd:complexType>
              <xsd:all>
                <xsd:element ref="ns2:PMO_x0020_Deliverable_x0020_Type" minOccurs="0"/>
                <xsd:element ref="ns3:DSO_x0020_Project" minOccurs="0"/>
                <xsd:element ref="ns4:DQ_x0020_Program"/>
                <xsd:element ref="ns4:Document_x0020_Status" minOccurs="0"/>
                <xsd:element ref="ns2:Approval" minOccurs="0"/>
              </xsd:all>
            </xsd:complexType>
          </xsd:element>
        </xsd:sequence>
      </xsd:complexType>
    </xsd:element>
  </xsd:schema>
  <xsd:schema xmlns:xsd="http://www.w3.org/2001/XMLSchema" xmlns:dms="http://schemas.microsoft.com/office/2006/documentManagement/types" targetNamespace="5b7b6afe-b3be-43de-b0c2-fcf1a0c330be" elementFormDefault="qualified">
    <xsd:import namespace="http://schemas.microsoft.com/office/2006/documentManagement/types"/>
    <xsd:element name="PMO_x0020_Deliverable_x0020_Type" ma:index="2" nillable="true" ma:displayName="PMO Deliverable Type" ma:default="Charter" ma:description="Select the associated PMO deliverable type the artifact addresses (applies only to PMO specific deliverables)" ma:format="RadioButtons" ma:internalName="PMO_x0020_Deliverable_x0020_Type">
      <xsd:simpleType>
        <xsd:restriction base="dms:Choice">
          <xsd:enumeration value="Charter"/>
          <xsd:enumeration value="Program Plan"/>
          <xsd:enumeration value="Communication Plan"/>
          <xsd:enumeration value="Quality Management Plan"/>
          <xsd:enumeration value="Program Budget"/>
          <xsd:enumeration value="Acceptance Plan"/>
          <xsd:enumeration value="Program Cost Forecast"/>
          <xsd:enumeration value="Status Reports"/>
          <xsd:enumeration value="Change Request Logs"/>
          <xsd:enumeration value="Risk Logs"/>
          <xsd:enumeration value="Issue Logs"/>
          <xsd:enumeration value="RACI Matrix"/>
          <xsd:enumeration value="Meeting Minutes"/>
          <xsd:enumeration value="Meeting Presentation"/>
          <xsd:enumeration value="Reference"/>
          <xsd:enumeration value="Joe Spotlight"/>
          <xsd:enumeration value="Other"/>
        </xsd:restriction>
      </xsd:simpleType>
    </xsd:element>
    <xsd:element name="Approval" ma:index="6" nillable="true" ma:displayName="Approved?" ma:default="0" ma:description="This field indicates if the PMO Artifact has been approved.   Mark as yes if this change request has been officially accepted by your accountable executive." ma:internalName="Approval">
      <xsd:simpleType>
        <xsd:restriction base="dms:Boolean"/>
      </xsd:simpleType>
    </xsd:element>
  </xsd:schema>
  <xsd:schema xmlns:xsd="http://www.w3.org/2001/XMLSchema" xmlns:dms="http://schemas.microsoft.com/office/2006/documentManagement/types" targetNamespace="3dd42efe-f980-4d13-ae0a-1f5ebfb51d7c" elementFormDefault="qualified">
    <xsd:import namespace="http://schemas.microsoft.com/office/2006/documentManagement/types"/>
    <xsd:element name="DSO_x0020_Project" ma:index="3" nillable="true" ma:displayName="Project Name" ma:default="DSO Initiative" ma:description="Select the associated project from the drop down list" ma:format="Dropdown" ma:internalName="DSO_x0020_Project">
      <xsd:simpleType>
        <xsd:restriction base="dms:Choice">
          <xsd:enumeration value="DSO Initiative"/>
          <xsd:enumeration value="Data Standards Development"/>
          <xsd:enumeration value="Dodd-Frank Impact Assessment"/>
          <xsd:enumeration value="Data Standards Adoption, Monitoring and Reporting"/>
          <xsd:enumeration value="Wave 1 2010"/>
          <xsd:enumeration value="Wave 2 2011"/>
          <xsd:enumeration value="Wave 3 2011"/>
          <xsd:enumeration value="Wave 4 2011"/>
          <xsd:enumeration value="Wave 5 2011"/>
          <xsd:enumeration value="Citi Reference Data Model/ Data Management Solution (COMBINED)"/>
          <xsd:enumeration value="3rd Party Alliances"/>
        </xsd:restriction>
      </xsd:simpleType>
    </xsd:element>
  </xsd:schema>
  <xsd:schema xmlns:xsd="http://www.w3.org/2001/XMLSchema" xmlns:dms="http://schemas.microsoft.com/office/2006/documentManagement/types" targetNamespace="116c0ff8-cfa5-4e39-8bf7-4530687bceac" elementFormDefault="qualified">
    <xsd:import namespace="http://schemas.microsoft.com/office/2006/documentManagement/types"/>
    <xsd:element name="DQ_x0020_Program" ma:index="4" ma:displayName="Data Standards" ma:default="08.  DSWG" ma:description="Please select the high level category / parent program that teh project artifact is aligned to.  If none apply, please leave this entry blank." ma:format="Dropdown" ma:internalName="DQ_x0020_Program">
      <xsd:simpleType>
        <xsd:restriction base="dms:Choice">
          <xsd:enumeration value="08.  DSWG"/>
          <xsd:enumeration value="Templates"/>
          <xsd:enumeration value="Risk &amp; Issues Log"/>
          <xsd:enumeration value="Program Maintence (Process Documents)"/>
          <xsd:enumeration value="Joe Spotlights"/>
          <xsd:enumeration value="Meeting Documents"/>
          <xsd:enumeration value="Training Documents"/>
          <xsd:enumeration value="Milestones Report"/>
          <xsd:enumeration value="01.  Data Standards Initiative"/>
          <xsd:enumeration value="02.  Dodd-Frank Impact Assessment"/>
          <xsd:enumeration value="03.  Data Management Practices 2011"/>
          <xsd:enumeration value="04.  Data Standard Development 2010"/>
          <xsd:enumeration value="05.  Data Standard Development 2011"/>
          <xsd:enumeration value="06.  Data Standards Platform"/>
          <xsd:enumeration value="07.  External Standards Bodies Engagement"/>
        </xsd:restriction>
      </xsd:simpleType>
    </xsd:element>
    <xsd:element name="Document_x0020_Status" ma:index="5" nillable="true" ma:displayName="Document Status" ma:default="Active" ma:description="The status of the document in relation to to project  lifecycle.   Select &quot;Archive&quot; if the document should no appear in the default list view." ma:format="Dropdown" ma:internalName="Document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1EBDC1-FCA7-486A-B2DC-A639A3F7A46E}">
  <ds:schemaRefs>
    <ds:schemaRef ds:uri="http://schemas.microsoft.com/sharepoint/v3/contenttype/forms"/>
  </ds:schemaRefs>
</ds:datastoreItem>
</file>

<file path=customXml/itemProps2.xml><?xml version="1.0" encoding="utf-8"?>
<ds:datastoreItem xmlns:ds="http://schemas.openxmlformats.org/officeDocument/2006/customXml" ds:itemID="{9E6F3238-4501-4287-A5A4-1B52D9BEEC34}">
  <ds:schemaRefs>
    <ds:schemaRef ds:uri="http://schemas.microsoft.com/office/2006/metadata/longProperties"/>
  </ds:schemaRefs>
</ds:datastoreItem>
</file>

<file path=customXml/itemProps3.xml><?xml version="1.0" encoding="utf-8"?>
<ds:datastoreItem xmlns:ds="http://schemas.openxmlformats.org/officeDocument/2006/customXml" ds:itemID="{7AB886FE-2AA9-4C17-BB4A-3A0E2B24DCF1}">
  <ds:schemaRefs>
    <ds:schemaRef ds:uri="http://schemas.microsoft.com/office/2006/metadata/properties"/>
    <ds:schemaRef ds:uri="116c0ff8-cfa5-4e39-8bf7-4530687bceac"/>
    <ds:schemaRef ds:uri="3dd42efe-f980-4d13-ae0a-1f5ebfb51d7c"/>
    <ds:schemaRef ds:uri="5b7b6afe-b3be-43de-b0c2-fcf1a0c330be"/>
  </ds:schemaRefs>
</ds:datastoreItem>
</file>

<file path=customXml/itemProps4.xml><?xml version="1.0" encoding="utf-8"?>
<ds:datastoreItem xmlns:ds="http://schemas.openxmlformats.org/officeDocument/2006/customXml" ds:itemID="{4F2843F8-0C64-47B6-9270-4FE187AC2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b6afe-b3be-43de-b0c2-fcf1a0c330be"/>
    <ds:schemaRef ds:uri="3dd42efe-f980-4d13-ae0a-1f5ebfb51d7c"/>
    <ds:schemaRef ds:uri="116c0ff8-cfa5-4e39-8bf7-4530687bcea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1684</Words>
  <Characters>8920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Credit Risk Discussion - 04-13 Meeting Minutes</vt:lpstr>
    </vt:vector>
  </TitlesOfParts>
  <Company>CBS</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Risk Discussion - 04-13 Meeting Minutes</dc:title>
  <dc:creator>Alyssa Connolly</dc:creator>
  <cp:lastModifiedBy>hs45938</cp:lastModifiedBy>
  <cp:revision>2</cp:revision>
  <cp:lastPrinted>2007-12-05T14:34:00Z</cp:lastPrinted>
  <dcterms:created xsi:type="dcterms:W3CDTF">2011-04-21T04:36:00Z</dcterms:created>
  <dcterms:modified xsi:type="dcterms:W3CDTF">2011-04-21T04:36:00Z</dcterms:modified>
  <cp:contentType>Project Management Deliverable</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ContentTypeId">
    <vt:lpwstr>0x010100CF2FE80236DD644D80CC92DFFE73E0790062963A84445B594884EE179226DD91E7</vt:lpwstr>
  </property>
</Properties>
</file>